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44E4B3CD"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bookmarkStart w:id="0" w:name="_GoBack"/>
      <w:bookmarkEnd w:id="0"/>
      <w:r w:rsidRPr="005C7597">
        <w:rPr>
          <w:rFonts w:ascii="Arial" w:hAnsi="Arial" w:cs="Arial"/>
          <w:b/>
          <w:bCs/>
          <w:sz w:val="24"/>
        </w:rPr>
        <w:t>3GPP TSG RAN WG1</w:t>
      </w:r>
      <w:r w:rsidR="0078054D">
        <w:rPr>
          <w:rFonts w:ascii="Arial" w:hAnsi="Arial" w:cs="Arial"/>
          <w:b/>
          <w:bCs/>
          <w:sz w:val="24"/>
        </w:rPr>
        <w:t>#100</w:t>
      </w:r>
      <w:r w:rsidR="007B65F9">
        <w:rPr>
          <w:rFonts w:ascii="Arial" w:hAnsi="Arial" w:cs="Arial"/>
          <w:b/>
          <w:bCs/>
          <w:sz w:val="24"/>
        </w:rPr>
        <w:t>-e</w:t>
      </w:r>
      <w:r w:rsidR="002222F7">
        <w:rPr>
          <w:rFonts w:ascii="Arial" w:hAnsi="Arial" w:cs="Arial"/>
          <w:b/>
          <w:bCs/>
          <w:sz w:val="24"/>
        </w:rPr>
        <w:t>-bis</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200</w:t>
      </w:r>
      <w:r w:rsidR="003A28B5">
        <w:rPr>
          <w:rFonts w:ascii="Arial" w:hAnsi="Arial" w:cs="Arial"/>
          <w:b/>
          <w:bCs/>
          <w:sz w:val="24"/>
        </w:rPr>
        <w:t>2136</w:t>
      </w:r>
    </w:p>
    <w:p w14:paraId="0DDD9E9D" w14:textId="5A0C18FA"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7B65F9">
        <w:rPr>
          <w:rFonts w:ascii="Arial" w:eastAsia="MS Mincho" w:hAnsi="Arial" w:cs="Arial"/>
          <w:b/>
          <w:bCs/>
          <w:sz w:val="24"/>
          <w:lang w:eastAsia="ja-JP"/>
        </w:rPr>
        <w:t>2</w:t>
      </w:r>
      <w:r w:rsidR="00CA64FE">
        <w:rPr>
          <w:rFonts w:ascii="Arial" w:eastAsia="MS Mincho" w:hAnsi="Arial" w:cs="Arial"/>
          <w:b/>
          <w:bCs/>
          <w:sz w:val="24"/>
          <w:lang w:eastAsia="ja-JP"/>
        </w:rPr>
        <w:t>0</w:t>
      </w:r>
      <w:r w:rsidR="00524D56">
        <w:rPr>
          <w:rFonts w:ascii="Arial" w:eastAsia="MS Mincho" w:hAnsi="Arial" w:cs="Arial"/>
          <w:b/>
          <w:bCs/>
          <w:sz w:val="24"/>
          <w:vertAlign w:val="superscript"/>
          <w:lang w:eastAsia="ja-JP"/>
        </w:rPr>
        <w:t>th</w:t>
      </w:r>
      <w:r w:rsidR="00524D56" w:rsidRPr="005C7597">
        <w:rPr>
          <w:rFonts w:ascii="Arial" w:eastAsia="MS Mincho" w:hAnsi="Arial" w:cs="Arial"/>
          <w:b/>
          <w:bCs/>
          <w:sz w:val="24"/>
          <w:lang w:eastAsia="ja-JP"/>
        </w:rPr>
        <w:t xml:space="preserve"> </w:t>
      </w:r>
      <w:r w:rsidR="00CA64FE">
        <w:rPr>
          <w:rFonts w:ascii="Arial" w:eastAsia="MS Mincho" w:hAnsi="Arial" w:cs="Arial"/>
          <w:b/>
          <w:bCs/>
          <w:sz w:val="24"/>
          <w:lang w:eastAsia="ja-JP"/>
        </w:rPr>
        <w:t>April</w:t>
      </w:r>
      <w:r w:rsidR="007B65F9">
        <w:rPr>
          <w:rFonts w:ascii="Arial" w:eastAsia="MS Mincho" w:hAnsi="Arial" w:cs="Arial"/>
          <w:b/>
          <w:bCs/>
          <w:sz w:val="24"/>
          <w:lang w:eastAsia="ja-JP"/>
        </w:rPr>
        <w:t xml:space="preserve"> </w:t>
      </w:r>
      <w:r w:rsidR="00524D56">
        <w:rPr>
          <w:rFonts w:ascii="Arial" w:eastAsia="MS Mincho" w:hAnsi="Arial" w:cs="Arial"/>
          <w:b/>
          <w:bCs/>
          <w:sz w:val="24"/>
          <w:lang w:eastAsia="ja-JP"/>
        </w:rPr>
        <w:t xml:space="preserve">– </w:t>
      </w:r>
      <w:r w:rsidR="00CA64FE">
        <w:rPr>
          <w:rFonts w:ascii="Arial" w:eastAsia="MS Mincho" w:hAnsi="Arial" w:cs="Arial"/>
          <w:b/>
          <w:bCs/>
          <w:sz w:val="24"/>
          <w:lang w:eastAsia="ja-JP"/>
        </w:rPr>
        <w:t>30</w:t>
      </w:r>
      <w:r w:rsidR="009812A4" w:rsidRPr="009812A4">
        <w:rPr>
          <w:rFonts w:ascii="Arial" w:eastAsia="MS Mincho" w:hAnsi="Arial" w:cs="Arial"/>
          <w:b/>
          <w:bCs/>
          <w:sz w:val="24"/>
          <w:vertAlign w:val="superscript"/>
          <w:lang w:eastAsia="ja-JP"/>
        </w:rPr>
        <w:t>th</w:t>
      </w:r>
      <w:r w:rsidR="009812A4">
        <w:rPr>
          <w:rFonts w:ascii="Arial" w:eastAsia="MS Mincho" w:hAnsi="Arial" w:cs="Arial"/>
          <w:b/>
          <w:bCs/>
          <w:sz w:val="24"/>
          <w:lang w:eastAsia="ja-JP"/>
        </w:rPr>
        <w:t xml:space="preserve"> </w:t>
      </w:r>
      <w:r w:rsidR="00CA64FE">
        <w:rPr>
          <w:rFonts w:ascii="Arial" w:eastAsia="MS Mincho" w:hAnsi="Arial" w:cs="Arial"/>
          <w:b/>
          <w:bCs/>
          <w:sz w:val="24"/>
          <w:lang w:eastAsia="ja-JP"/>
        </w:rPr>
        <w:t>April</w:t>
      </w:r>
      <w:r w:rsidR="007B65F9">
        <w:rPr>
          <w:rFonts w:ascii="Arial" w:eastAsia="MS Mincho" w:hAnsi="Arial" w:cs="Arial"/>
          <w:b/>
          <w:bCs/>
          <w:sz w:val="24"/>
          <w:lang w:eastAsia="ja-JP"/>
        </w:rPr>
        <w:t>, 2020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0971B125"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7B65F9">
        <w:rPr>
          <w:rFonts w:ascii="Arial" w:hAnsi="Arial"/>
          <w:sz w:val="24"/>
          <w:lang w:val="en-US" w:eastAsia="ko-KR"/>
        </w:rPr>
        <w:t>6.1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BBC2318"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D3293" w:rsidRPr="008D3293">
        <w:rPr>
          <w:rFonts w:ascii="Arial" w:hAnsi="Arial"/>
          <w:sz w:val="24"/>
          <w:lang w:val="en-US"/>
        </w:rPr>
        <w:t>On maintenance of Rel.16 MU CSI enhancements</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4A053BAD" w14:textId="77777777" w:rsidR="001D5A21" w:rsidRPr="002958FD" w:rsidRDefault="001D5A21" w:rsidP="001D5A21">
      <w:pPr>
        <w:pStyle w:val="Heading1"/>
        <w:tabs>
          <w:tab w:val="clear" w:pos="0"/>
        </w:tabs>
        <w:spacing w:before="240" w:after="60"/>
        <w:ind w:left="360" w:hanging="400"/>
        <w:jc w:val="both"/>
      </w:pPr>
      <w:r w:rsidRPr="002958FD">
        <w:t>I</w:t>
      </w:r>
      <w:r w:rsidRPr="002958FD">
        <w:rPr>
          <w:rFonts w:hint="eastAsia"/>
        </w:rPr>
        <w:t>ntroduction</w:t>
      </w:r>
    </w:p>
    <w:p w14:paraId="1C40A5A2" w14:textId="60ED6C1F" w:rsidR="00384CDA" w:rsidRPr="00DC6426" w:rsidRDefault="00384CDA" w:rsidP="00384CDA">
      <w:pPr>
        <w:pStyle w:val="0Maintext"/>
        <w:spacing w:after="60" w:afterAutospacing="0"/>
        <w:rPr>
          <w:lang w:val="en-US"/>
        </w:rPr>
      </w:pPr>
      <w:r>
        <w:rPr>
          <w:lang w:val="en-US"/>
        </w:rPr>
        <w:t>This following agreement was made at the conclusion of the email discussion [100e-NR-eMIMO-MUCSI-01]</w:t>
      </w:r>
      <w:r w:rsidR="00A25FC0">
        <w:rPr>
          <w:lang w:val="en-US"/>
        </w:rPr>
        <w:t xml:space="preserve"> during RAN1#100-e</w:t>
      </w:r>
      <w:r w:rsidR="00FE5029">
        <w:rPr>
          <w:lang w:val="en-US"/>
        </w:rPr>
        <w:t xml:space="preserve"> [1]</w:t>
      </w:r>
      <w:r>
        <w:rPr>
          <w:lang w:val="en-US"/>
        </w:rPr>
        <w:t>:</w:t>
      </w:r>
    </w:p>
    <w:tbl>
      <w:tblPr>
        <w:tblW w:w="0" w:type="auto"/>
        <w:tblCellMar>
          <w:left w:w="0" w:type="dxa"/>
          <w:right w:w="0" w:type="dxa"/>
        </w:tblCellMar>
        <w:tblLook w:val="04A0" w:firstRow="1" w:lastRow="0" w:firstColumn="1" w:lastColumn="0" w:noHBand="0" w:noVBand="1"/>
      </w:tblPr>
      <w:tblGrid>
        <w:gridCol w:w="9619"/>
      </w:tblGrid>
      <w:tr w:rsidR="00384CDA" w:rsidRPr="00A754BA" w14:paraId="2583C4B1" w14:textId="77777777" w:rsidTr="00961A00">
        <w:tc>
          <w:tcPr>
            <w:tcW w:w="96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E37A85D" w14:textId="77777777" w:rsidR="00384CDA" w:rsidRPr="00A754BA" w:rsidRDefault="00384CDA" w:rsidP="00384CDA">
            <w:pPr>
              <w:rPr>
                <w:color w:val="1F497D"/>
                <w:sz w:val="20"/>
                <w:lang w:val="en-US" w:eastAsia="ko-KR"/>
              </w:rPr>
            </w:pPr>
            <w:r w:rsidRPr="00A754BA">
              <w:rPr>
                <w:color w:val="1F497D"/>
                <w:sz w:val="20"/>
                <w:highlight w:val="green"/>
              </w:rPr>
              <w:t>Agreement</w:t>
            </w:r>
          </w:p>
          <w:p w14:paraId="4842CDEA" w14:textId="77777777" w:rsidR="00384CDA" w:rsidRPr="00A754BA" w:rsidRDefault="00384CDA" w:rsidP="00C05FEA">
            <w:pPr>
              <w:pStyle w:val="ListParagraph"/>
              <w:numPr>
                <w:ilvl w:val="0"/>
                <w:numId w:val="40"/>
              </w:numPr>
              <w:overflowPunct w:val="0"/>
              <w:autoSpaceDE w:val="0"/>
              <w:autoSpaceDN w:val="0"/>
              <w:adjustRightInd w:val="0"/>
              <w:spacing w:after="0"/>
              <w:ind w:leftChars="0" w:left="714" w:firstLine="440"/>
              <w:contextualSpacing/>
              <w:textAlignment w:val="baseline"/>
              <w:rPr>
                <w:sz w:val="20"/>
              </w:rPr>
            </w:pPr>
            <w:r w:rsidRPr="00A754BA">
              <w:rPr>
                <w:sz w:val="20"/>
              </w:rPr>
              <w:t>The following issue is to be finalized in the next RAN1 meeting:</w:t>
            </w:r>
          </w:p>
          <w:tbl>
            <w:tblPr>
              <w:tblW w:w="0" w:type="auto"/>
              <w:tblCellMar>
                <w:left w:w="0" w:type="dxa"/>
                <w:right w:w="0" w:type="dxa"/>
              </w:tblCellMar>
              <w:tblLook w:val="04A0" w:firstRow="1" w:lastRow="0" w:firstColumn="1" w:lastColumn="0" w:noHBand="0" w:noVBand="1"/>
            </w:tblPr>
            <w:tblGrid>
              <w:gridCol w:w="9383"/>
            </w:tblGrid>
            <w:tr w:rsidR="00384CDA" w:rsidRPr="00A754BA" w14:paraId="7C1537EB" w14:textId="77777777" w:rsidTr="00961A00">
              <w:tc>
                <w:tcPr>
                  <w:tcW w:w="96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5E26F29" w14:textId="77777777" w:rsidR="00384CDA" w:rsidRPr="00A754BA" w:rsidRDefault="00384CDA" w:rsidP="00384CDA">
                  <w:pPr>
                    <w:rPr>
                      <w:b/>
                      <w:bCs/>
                      <w:sz w:val="20"/>
                    </w:rPr>
                  </w:pPr>
                  <w:r w:rsidRPr="00A754BA">
                    <w:rPr>
                      <w:sz w:val="20"/>
                    </w:rPr>
                    <w:t xml:space="preserve">When BWP size &lt; 24 PRBs, should CSI reporting be supported? </w:t>
                  </w:r>
                  <w:r w:rsidRPr="00A754BA">
                    <w:rPr>
                      <w:sz w:val="20"/>
                    </w:rPr>
                    <w:sym w:font="Wingdings" w:char="F0E0"/>
                  </w:r>
                  <w:r w:rsidRPr="00A754BA">
                    <w:rPr>
                      <w:sz w:val="20"/>
                    </w:rPr>
                    <w:t xml:space="preserve"> </w:t>
                  </w:r>
                  <w:r w:rsidRPr="00A754BA">
                    <w:rPr>
                      <w:b/>
                      <w:bCs/>
                      <w:sz w:val="20"/>
                    </w:rPr>
                    <w:t>Rel.15 maintenance issue</w:t>
                  </w:r>
                </w:p>
                <w:p w14:paraId="1ACF59FA" w14:textId="77777777" w:rsidR="00384CDA" w:rsidRPr="00A754BA" w:rsidRDefault="00384CDA" w:rsidP="00C05FEA">
                  <w:pPr>
                    <w:pStyle w:val="ListParagraph"/>
                    <w:numPr>
                      <w:ilvl w:val="0"/>
                      <w:numId w:val="39"/>
                    </w:numPr>
                    <w:spacing w:after="0"/>
                    <w:ind w:leftChars="0" w:firstLine="440"/>
                    <w:rPr>
                      <w:sz w:val="20"/>
                      <w:lang w:val="en-US"/>
                    </w:rPr>
                  </w:pPr>
                  <w:r w:rsidRPr="00A754BA">
                    <w:rPr>
                      <w:sz w:val="20"/>
                    </w:rPr>
                    <w:t xml:space="preserve">If yes, what feature(s) need to be refined (e.g. subband size table, csiReportingBand definition, cqi-/pmi-FormatIndicator definition/ configuration, ...) </w:t>
                  </w:r>
                  <w:r w:rsidRPr="00A754BA">
                    <w:rPr>
                      <w:sz w:val="20"/>
                    </w:rPr>
                    <w:sym w:font="Wingdings" w:char="F0E0"/>
                  </w:r>
                  <w:r w:rsidRPr="00A754BA">
                    <w:rPr>
                      <w:sz w:val="20"/>
                    </w:rPr>
                    <w:t xml:space="preserve"> </w:t>
                  </w:r>
                  <w:r w:rsidRPr="00A754BA">
                    <w:rPr>
                      <w:b/>
                      <w:bCs/>
                      <w:sz w:val="20"/>
                    </w:rPr>
                    <w:t>Rel.15 maintenance issue</w:t>
                  </w:r>
                </w:p>
                <w:p w14:paraId="1FBB9CBF" w14:textId="77777777" w:rsidR="00384CDA" w:rsidRPr="00A754BA" w:rsidRDefault="00384CDA" w:rsidP="00C05FEA">
                  <w:pPr>
                    <w:pStyle w:val="ListParagraph"/>
                    <w:numPr>
                      <w:ilvl w:val="0"/>
                      <w:numId w:val="39"/>
                    </w:numPr>
                    <w:spacing w:after="0"/>
                    <w:ind w:leftChars="0" w:firstLine="440"/>
                    <w:rPr>
                      <w:sz w:val="20"/>
                    </w:rPr>
                  </w:pPr>
                  <w:r w:rsidRPr="00A754BA">
                    <w:rPr>
                      <w:sz w:val="20"/>
                    </w:rPr>
                    <w:t xml:space="preserve">If no, what spec clarification is needed (e.g. subband size table, csiReportingBand definition, cqi-/pmi-FormatIndicator definition/ configuration, ...) </w:t>
                  </w:r>
                  <w:r w:rsidRPr="00A754BA">
                    <w:rPr>
                      <w:sz w:val="20"/>
                    </w:rPr>
                    <w:sym w:font="Wingdings" w:char="F0E0"/>
                  </w:r>
                  <w:r w:rsidRPr="00A754BA">
                    <w:rPr>
                      <w:sz w:val="20"/>
                    </w:rPr>
                    <w:t xml:space="preserve"> </w:t>
                  </w:r>
                  <w:r w:rsidRPr="00A754BA">
                    <w:rPr>
                      <w:b/>
                      <w:bCs/>
                      <w:sz w:val="20"/>
                    </w:rPr>
                    <w:t>Rel.15 maintenance issue</w:t>
                  </w:r>
                </w:p>
                <w:p w14:paraId="7B790574" w14:textId="77777777" w:rsidR="00384CDA" w:rsidRPr="00A754BA" w:rsidRDefault="00384CDA" w:rsidP="00C05FEA">
                  <w:pPr>
                    <w:pStyle w:val="ListParagraph"/>
                    <w:numPr>
                      <w:ilvl w:val="0"/>
                      <w:numId w:val="39"/>
                    </w:numPr>
                    <w:spacing w:after="0"/>
                    <w:ind w:leftChars="0" w:firstLine="440"/>
                    <w:rPr>
                      <w:sz w:val="20"/>
                    </w:rPr>
                  </w:pPr>
                  <w:r w:rsidRPr="00A754BA">
                    <w:rPr>
                      <w:sz w:val="20"/>
                    </w:rPr>
                    <w:t xml:space="preserve">If yes, which of the Rel.15 codebooks are supported? </w:t>
                  </w:r>
                  <w:r w:rsidRPr="00A754BA">
                    <w:rPr>
                      <w:sz w:val="20"/>
                    </w:rPr>
                    <w:sym w:font="Wingdings" w:char="F0E0"/>
                  </w:r>
                  <w:r w:rsidRPr="00A754BA">
                    <w:rPr>
                      <w:sz w:val="20"/>
                    </w:rPr>
                    <w:t xml:space="preserve"> </w:t>
                  </w:r>
                  <w:r w:rsidRPr="00A754BA">
                    <w:rPr>
                      <w:b/>
                      <w:bCs/>
                      <w:sz w:val="20"/>
                    </w:rPr>
                    <w:t>Rel.15 maintenance issue</w:t>
                  </w:r>
                </w:p>
                <w:p w14:paraId="6CD32A93" w14:textId="77777777" w:rsidR="00384CDA" w:rsidRPr="00A754BA" w:rsidRDefault="00384CDA" w:rsidP="00C05FEA">
                  <w:pPr>
                    <w:pStyle w:val="ListParagraph"/>
                    <w:numPr>
                      <w:ilvl w:val="0"/>
                      <w:numId w:val="39"/>
                    </w:numPr>
                    <w:spacing w:after="0"/>
                    <w:ind w:leftChars="0" w:firstLine="440"/>
                    <w:rPr>
                      <w:color w:val="1F497D"/>
                      <w:sz w:val="20"/>
                    </w:rPr>
                  </w:pPr>
                  <w:r w:rsidRPr="00A754BA">
                    <w:rPr>
                      <w:sz w:val="20"/>
                    </w:rPr>
                    <w:t xml:space="preserve">If yes, are codebookType Rel.16 eType-II, eType-II port selection supported? </w:t>
                  </w:r>
                  <w:r w:rsidRPr="00A754BA">
                    <w:rPr>
                      <w:sz w:val="20"/>
                    </w:rPr>
                    <w:sym w:font="Wingdings" w:char="F0E0"/>
                  </w:r>
                  <w:r w:rsidRPr="00A754BA">
                    <w:rPr>
                      <w:sz w:val="20"/>
                    </w:rPr>
                    <w:t xml:space="preserve"> </w:t>
                  </w:r>
                  <w:r w:rsidRPr="00A754BA">
                    <w:rPr>
                      <w:b/>
                      <w:bCs/>
                      <w:sz w:val="20"/>
                    </w:rPr>
                    <w:t>Rel.16 maintenance issue</w:t>
                  </w:r>
                </w:p>
              </w:tc>
            </w:tr>
          </w:tbl>
          <w:p w14:paraId="550F2F93" w14:textId="77777777" w:rsidR="00384CDA" w:rsidRPr="00A754BA" w:rsidRDefault="00384CDA" w:rsidP="00C05FEA">
            <w:pPr>
              <w:pStyle w:val="ListParagraph"/>
              <w:numPr>
                <w:ilvl w:val="0"/>
                <w:numId w:val="40"/>
              </w:numPr>
              <w:overflowPunct w:val="0"/>
              <w:autoSpaceDE w:val="0"/>
              <w:autoSpaceDN w:val="0"/>
              <w:adjustRightInd w:val="0"/>
              <w:ind w:leftChars="0" w:firstLine="440"/>
              <w:contextualSpacing/>
              <w:textAlignment w:val="baseline"/>
              <w:rPr>
                <w:sz w:val="20"/>
              </w:rPr>
            </w:pPr>
            <w:r w:rsidRPr="00A754BA">
              <w:rPr>
                <w:sz w:val="20"/>
              </w:rPr>
              <w:t>Issues a, b, and c are to be discussed under Rel.15 maintenance on NR-MIMO</w:t>
            </w:r>
          </w:p>
          <w:p w14:paraId="23F91412" w14:textId="1027413D" w:rsidR="00384CDA" w:rsidRPr="00A754BA" w:rsidRDefault="00384CDA" w:rsidP="00C05FEA">
            <w:pPr>
              <w:pStyle w:val="ListParagraph"/>
              <w:numPr>
                <w:ilvl w:val="0"/>
                <w:numId w:val="40"/>
              </w:numPr>
              <w:overflowPunct w:val="0"/>
              <w:autoSpaceDE w:val="0"/>
              <w:autoSpaceDN w:val="0"/>
              <w:adjustRightInd w:val="0"/>
              <w:ind w:leftChars="0" w:firstLine="440"/>
              <w:contextualSpacing/>
              <w:textAlignment w:val="baseline"/>
              <w:rPr>
                <w:sz w:val="20"/>
              </w:rPr>
            </w:pPr>
            <w:r w:rsidRPr="00A754BA">
              <w:rPr>
                <w:sz w:val="20"/>
              </w:rPr>
              <w:t>Issue d is to be discussed under Rel.16 maintenance on eMIMO MU-CSI informed by the outcome (or parallel with) the Rel.15 discussion for issues a, b, and c</w:t>
            </w:r>
          </w:p>
        </w:tc>
      </w:tr>
    </w:tbl>
    <w:p w14:paraId="653ACFBE" w14:textId="5ADE3626" w:rsidR="00384CDA" w:rsidRPr="00A754BA" w:rsidRDefault="00384CDA" w:rsidP="001D5A21">
      <w:pPr>
        <w:spacing w:after="60"/>
        <w:rPr>
          <w:sz w:val="20"/>
          <w:lang w:val="en-US"/>
        </w:rPr>
      </w:pPr>
    </w:p>
    <w:p w14:paraId="19D03722" w14:textId="6D74F1D8" w:rsidR="006B0849" w:rsidRPr="00A754BA" w:rsidRDefault="006B0849" w:rsidP="001D5A21">
      <w:pPr>
        <w:spacing w:after="60"/>
        <w:rPr>
          <w:sz w:val="20"/>
          <w:lang w:val="en-US"/>
        </w:rPr>
      </w:pPr>
      <w:r w:rsidRPr="00A754BA">
        <w:rPr>
          <w:sz w:val="20"/>
          <w:lang w:val="en-US"/>
        </w:rPr>
        <w:t>Based on the offline email discussion on the issue formulated in the agreement above, the following offline agreement was made</w:t>
      </w:r>
      <w:r w:rsidR="00FE5029" w:rsidRPr="00A754BA">
        <w:rPr>
          <w:sz w:val="20"/>
          <w:lang w:val="en-US"/>
        </w:rPr>
        <w:t xml:space="preserve"> [2</w:t>
      </w:r>
      <w:r w:rsidR="001479B0" w:rsidRPr="00A754BA">
        <w:rPr>
          <w:sz w:val="20"/>
          <w:lang w:val="en-US"/>
        </w:rPr>
        <w:t>]</w:t>
      </w:r>
      <w:r w:rsidRPr="00A754BA">
        <w:rPr>
          <w:sz w:val="20"/>
          <w:lang w:val="en-US"/>
        </w:rPr>
        <w:t>.</w:t>
      </w:r>
    </w:p>
    <w:tbl>
      <w:tblPr>
        <w:tblStyle w:val="TableGrid"/>
        <w:tblW w:w="0" w:type="auto"/>
        <w:tblLook w:val="04A0" w:firstRow="1" w:lastRow="0" w:firstColumn="1" w:lastColumn="0" w:noHBand="0" w:noVBand="1"/>
      </w:tblPr>
      <w:tblGrid>
        <w:gridCol w:w="9629"/>
      </w:tblGrid>
      <w:tr w:rsidR="006B0849" w:rsidRPr="00A754BA" w14:paraId="5455A538" w14:textId="77777777" w:rsidTr="006B0849">
        <w:tc>
          <w:tcPr>
            <w:tcW w:w="9629" w:type="dxa"/>
          </w:tcPr>
          <w:p w14:paraId="6DF1A8B3" w14:textId="77777777" w:rsidR="006B0849" w:rsidRPr="00A754BA" w:rsidRDefault="006B0849" w:rsidP="006B0849">
            <w:pPr>
              <w:pStyle w:val="0Maintext"/>
              <w:spacing w:after="60" w:afterAutospacing="0"/>
              <w:ind w:firstLine="0"/>
              <w:rPr>
                <w:lang w:val="en-US"/>
              </w:rPr>
            </w:pPr>
            <w:r w:rsidRPr="00A754BA">
              <w:rPr>
                <w:b/>
                <w:u w:val="single"/>
                <w:lang w:val="en-US"/>
              </w:rPr>
              <w:t>Offline agreement</w:t>
            </w:r>
            <w:r w:rsidRPr="00A754BA">
              <w:rPr>
                <w:lang w:val="en-US"/>
              </w:rPr>
              <w:t>:</w:t>
            </w:r>
          </w:p>
          <w:p w14:paraId="6AE1C13A" w14:textId="77777777" w:rsidR="006B0849" w:rsidRPr="00A754BA" w:rsidRDefault="006B0849" w:rsidP="00C05FEA">
            <w:pPr>
              <w:pStyle w:val="0Maintext"/>
              <w:numPr>
                <w:ilvl w:val="0"/>
                <w:numId w:val="41"/>
              </w:numPr>
              <w:spacing w:after="60" w:afterAutospacing="0"/>
              <w:rPr>
                <w:lang w:val="en-US"/>
              </w:rPr>
            </w:pPr>
            <w:r w:rsidRPr="00A754BA">
              <w:rPr>
                <w:lang w:val="en-US"/>
              </w:rPr>
              <w:t>On the support of CSI reporting for BWP size &lt; 24 PRBs, only wideband CSI reporting is supported with Rel.15 Type I single-panel codebook</w:t>
            </w:r>
          </w:p>
          <w:p w14:paraId="71BEC4FB" w14:textId="77777777" w:rsidR="006B0849" w:rsidRPr="00A754BA" w:rsidRDefault="006B0849" w:rsidP="00C05FEA">
            <w:pPr>
              <w:pStyle w:val="0Maintext"/>
              <w:numPr>
                <w:ilvl w:val="0"/>
                <w:numId w:val="41"/>
              </w:numPr>
              <w:spacing w:after="60" w:afterAutospacing="0"/>
              <w:rPr>
                <w:lang w:val="en-US"/>
              </w:rPr>
            </w:pPr>
            <w:r w:rsidRPr="00A754BA" w:rsidDel="00110F0C">
              <w:rPr>
                <w:lang w:val="en-US"/>
              </w:rPr>
              <w:t xml:space="preserve"> </w:t>
            </w:r>
            <w:r w:rsidRPr="00A754BA">
              <w:rPr>
                <w:lang w:val="en-US"/>
              </w:rPr>
              <w:t>[Text proposal]</w:t>
            </w:r>
          </w:p>
          <w:p w14:paraId="3E97B537" w14:textId="77777777" w:rsidR="006B0849" w:rsidRPr="00A754BA" w:rsidRDefault="006B0849" w:rsidP="006B0849">
            <w:pPr>
              <w:pStyle w:val="0Maintext"/>
              <w:spacing w:after="60" w:afterAutospacing="0"/>
              <w:ind w:firstLine="0"/>
              <w:rPr>
                <w:lang w:val="en-US"/>
              </w:rPr>
            </w:pPr>
          </w:p>
          <w:p w14:paraId="452C6CC5" w14:textId="5D0FC556" w:rsidR="006B0849" w:rsidRPr="00A754BA" w:rsidRDefault="006B0849" w:rsidP="006B0849">
            <w:pPr>
              <w:spacing w:after="60"/>
              <w:rPr>
                <w:sz w:val="20"/>
                <w:lang w:val="en-US"/>
              </w:rPr>
            </w:pPr>
            <w:r w:rsidRPr="00A754BA">
              <w:rPr>
                <w:b/>
                <w:sz w:val="20"/>
                <w:u w:val="single"/>
                <w:lang w:val="en-US"/>
              </w:rPr>
              <w:t>Offline conclusion</w:t>
            </w:r>
            <w:r w:rsidRPr="00A754BA">
              <w:rPr>
                <w:sz w:val="20"/>
                <w:lang w:val="en-US"/>
              </w:rPr>
              <w:t>: On the support of CSI reporting for BWP size &lt; 24 PRBs, there is no consensus in supporting Rel.15 Type-I multi-panel, Rel.15 Type-II, and Rel.16 eType-II codebooks for wideband CSI reporting</w:t>
            </w:r>
          </w:p>
        </w:tc>
      </w:tr>
    </w:tbl>
    <w:p w14:paraId="66D754CB" w14:textId="77777777" w:rsidR="006B0849" w:rsidRPr="00A754BA" w:rsidRDefault="006B0849" w:rsidP="001D5A21">
      <w:pPr>
        <w:spacing w:after="60"/>
        <w:rPr>
          <w:sz w:val="20"/>
          <w:lang w:val="en-US"/>
        </w:rPr>
      </w:pPr>
    </w:p>
    <w:p w14:paraId="586E5852" w14:textId="13D1E6C3" w:rsidR="006B0849" w:rsidRPr="00A754BA" w:rsidRDefault="007C53B8" w:rsidP="001D5A21">
      <w:pPr>
        <w:spacing w:after="60"/>
        <w:rPr>
          <w:sz w:val="20"/>
          <w:lang w:val="en-US"/>
        </w:rPr>
      </w:pPr>
      <w:r w:rsidRPr="00A754BA">
        <w:rPr>
          <w:sz w:val="20"/>
          <w:lang w:val="en-US"/>
        </w:rPr>
        <w:t>There is no consensus on the support of Rel. 16 eTypeII and eTypeII ports selection codebooks for BWP size &lt; 24 PRBs. In this contribution, we provide our view regarding this issue. The contribution also discusses some of the UE c</w:t>
      </w:r>
      <w:r w:rsidR="009F63E0">
        <w:rPr>
          <w:sz w:val="20"/>
          <w:lang w:val="en-US"/>
        </w:rPr>
        <w:t>apability related features</w:t>
      </w:r>
      <w:r w:rsidRPr="00A754BA">
        <w:rPr>
          <w:sz w:val="20"/>
          <w:lang w:val="en-US"/>
        </w:rPr>
        <w:t>.</w:t>
      </w:r>
    </w:p>
    <w:p w14:paraId="6ECD0351" w14:textId="77777777" w:rsidR="001D5A21" w:rsidRDefault="001D5A21" w:rsidP="001D5A21">
      <w:pPr>
        <w:pStyle w:val="Heading1"/>
        <w:numPr>
          <w:ilvl w:val="0"/>
          <w:numId w:val="0"/>
        </w:numPr>
        <w:spacing w:before="0" w:after="60"/>
        <w:jc w:val="both"/>
        <w:rPr>
          <w:lang w:val="en-US"/>
        </w:rPr>
      </w:pPr>
    </w:p>
    <w:p w14:paraId="57FAAAE8" w14:textId="6C98CD23" w:rsidR="00242D10" w:rsidRPr="00082D37" w:rsidRDefault="00D92EF7" w:rsidP="00056CB7">
      <w:pPr>
        <w:pStyle w:val="Heading1"/>
        <w:spacing w:before="0" w:after="60"/>
        <w:jc w:val="both"/>
        <w:rPr>
          <w:lang w:val="en-US"/>
        </w:rPr>
      </w:pPr>
      <w:r>
        <w:rPr>
          <w:lang w:val="en-US"/>
        </w:rPr>
        <w:t>Support of eTypeII</w:t>
      </w:r>
      <w:r w:rsidR="00110AAE">
        <w:rPr>
          <w:lang w:val="en-US"/>
        </w:rPr>
        <w:t xml:space="preserve"> and eTypeII port selection</w:t>
      </w:r>
      <w:r>
        <w:rPr>
          <w:lang w:val="en-US"/>
        </w:rPr>
        <w:t xml:space="preserve"> for BWP size &lt; 24 PRBs</w:t>
      </w:r>
    </w:p>
    <w:p w14:paraId="3B421C07" w14:textId="406E8461" w:rsidR="002B7A67" w:rsidRDefault="00027400" w:rsidP="002B7A67">
      <w:pPr>
        <w:pStyle w:val="0Maintext"/>
        <w:spacing w:after="60" w:afterAutospacing="0"/>
        <w:rPr>
          <w:lang w:val="en-US"/>
        </w:rPr>
      </w:pPr>
      <w:r>
        <w:rPr>
          <w:lang w:val="en-US"/>
        </w:rPr>
        <w:t>First</w:t>
      </w:r>
      <w:r w:rsidR="009C48EC">
        <w:rPr>
          <w:lang w:val="en-US"/>
        </w:rPr>
        <w:t>, t</w:t>
      </w:r>
      <w:r w:rsidR="00FF1225">
        <w:rPr>
          <w:lang w:val="en-US"/>
        </w:rPr>
        <w:t>he support for CSI reporting for BWP size &lt; 24 PRBs should be driven by the use case</w:t>
      </w:r>
      <w:r w:rsidR="00D21492">
        <w:rPr>
          <w:lang w:val="en-US"/>
        </w:rPr>
        <w:t>.</w:t>
      </w:r>
      <w:r w:rsidR="00FF1225">
        <w:rPr>
          <w:lang w:val="en-US"/>
        </w:rPr>
        <w:t xml:space="preserve"> For large BWP sizes, the main use case is to </w:t>
      </w:r>
      <w:r w:rsidR="009C48EC">
        <w:rPr>
          <w:lang w:val="en-US"/>
        </w:rPr>
        <w:t>achieve</w:t>
      </w:r>
      <w:r w:rsidR="00FF1225">
        <w:rPr>
          <w:lang w:val="en-US"/>
        </w:rPr>
        <w:t xml:space="preserve"> large MU-MIMO system performance</w:t>
      </w:r>
      <w:r w:rsidR="002B7A67">
        <w:rPr>
          <w:lang w:val="en-US"/>
        </w:rPr>
        <w:t xml:space="preserve"> gain;</w:t>
      </w:r>
      <w:r w:rsidR="00FF1225">
        <w:rPr>
          <w:lang w:val="en-US"/>
        </w:rPr>
        <w:t xml:space="preserve"> whereas for small BWP sizes, the main use case is </w:t>
      </w:r>
      <w:r>
        <w:rPr>
          <w:lang w:val="en-US"/>
        </w:rPr>
        <w:t>not MU-MIMO, and</w:t>
      </w:r>
      <w:r w:rsidR="00FF1225">
        <w:rPr>
          <w:lang w:val="en-US"/>
        </w:rPr>
        <w:t xml:space="preserve"> a more important use case is the support of </w:t>
      </w:r>
      <w:r w:rsidR="006A5CE7">
        <w:rPr>
          <w:lang w:val="en-US"/>
        </w:rPr>
        <w:t xml:space="preserve">CSI reporting for a </w:t>
      </w:r>
      <w:r w:rsidR="00FF1225">
        <w:rPr>
          <w:lang w:val="en-US"/>
        </w:rPr>
        <w:t xml:space="preserve">low-cost (or lower complexity) </w:t>
      </w:r>
      <w:r w:rsidR="00FF1225">
        <w:rPr>
          <w:lang w:val="en-US"/>
        </w:rPr>
        <w:lastRenderedPageBreak/>
        <w:t xml:space="preserve">UEs such as REDCAP UEs. </w:t>
      </w:r>
      <w:r w:rsidR="005141EA">
        <w:rPr>
          <w:lang w:val="en-US"/>
        </w:rPr>
        <w:t>Now</w:t>
      </w:r>
      <w:r>
        <w:rPr>
          <w:lang w:val="en-US"/>
        </w:rPr>
        <w:t>,</w:t>
      </w:r>
      <w:r w:rsidR="0008496B">
        <w:rPr>
          <w:lang w:val="en-US"/>
        </w:rPr>
        <w:t xml:space="preserve"> regarding performance,</w:t>
      </w:r>
      <w:r>
        <w:rPr>
          <w:lang w:val="en-US"/>
        </w:rPr>
        <w:t xml:space="preserve"> d</w:t>
      </w:r>
      <w:r w:rsidR="002B7A67" w:rsidRPr="00A1007C">
        <w:rPr>
          <w:lang w:val="en-US"/>
        </w:rPr>
        <w:t xml:space="preserve">uring the </w:t>
      </w:r>
      <w:r w:rsidR="002B7A67">
        <w:rPr>
          <w:lang w:val="en-US"/>
        </w:rPr>
        <w:t xml:space="preserve">online/offline email discussions </w:t>
      </w:r>
      <w:r w:rsidR="002B7A67" w:rsidRPr="00A1007C">
        <w:rPr>
          <w:lang w:val="en-US"/>
        </w:rPr>
        <w:t>on the topic, it was shown that the Rel.16 eTypeII can achieve significant gain</w:t>
      </w:r>
      <w:r w:rsidR="002B7A67">
        <w:rPr>
          <w:lang w:val="en-US"/>
        </w:rPr>
        <w:t xml:space="preserve"> (approximately 10%)</w:t>
      </w:r>
      <w:r w:rsidR="002B7A67" w:rsidRPr="00A1007C">
        <w:rPr>
          <w:lang w:val="en-US"/>
        </w:rPr>
        <w:t xml:space="preserve"> </w:t>
      </w:r>
      <w:r w:rsidR="002B7A67">
        <w:rPr>
          <w:lang w:val="en-US"/>
        </w:rPr>
        <w:t>over Rel. 15 Type</w:t>
      </w:r>
      <w:r w:rsidR="002B7A67" w:rsidRPr="00A1007C">
        <w:rPr>
          <w:lang w:val="en-US"/>
        </w:rPr>
        <w:t>I even for</w:t>
      </w:r>
      <w:r w:rsidR="002B7A67">
        <w:rPr>
          <w:lang w:val="en-US"/>
        </w:rPr>
        <w:t xml:space="preserve"> SU-MIMO based on </w:t>
      </w:r>
      <w:r w:rsidR="002B7A67" w:rsidRPr="00A1007C">
        <w:rPr>
          <w:lang w:val="en-US"/>
        </w:rPr>
        <w:t xml:space="preserve">WB CSI </w:t>
      </w:r>
      <w:r w:rsidR="002B7A67">
        <w:rPr>
          <w:lang w:val="en-US"/>
        </w:rPr>
        <w:t xml:space="preserve">reporting. The gain is primarily due to a high resolution (linear combination) precoder which is based combining multiple beams (not just selecting one beam as in Rel. 15 TypeI codebook) to represent a WB precoder. </w:t>
      </w:r>
    </w:p>
    <w:p w14:paraId="10AB9461" w14:textId="28785488" w:rsidR="0031398A" w:rsidRPr="00C36173" w:rsidRDefault="005141EA" w:rsidP="006F2C9D">
      <w:pPr>
        <w:pStyle w:val="0Maintext"/>
        <w:spacing w:after="60" w:afterAutospacing="0"/>
        <w:rPr>
          <w:lang w:val="en-US"/>
        </w:rPr>
      </w:pPr>
      <w:r>
        <w:rPr>
          <w:lang w:val="en-US"/>
        </w:rPr>
        <w:t>Considering both use case and performance gain, it is reasonable to consider supporting TypeII CSI for BWP size &lt; 24 PRBs. However, s</w:t>
      </w:r>
      <w:r w:rsidR="00257719" w:rsidRPr="00A1007C">
        <w:rPr>
          <w:lang w:val="en-US"/>
        </w:rPr>
        <w:t>upporting both R15 TypeII and R16 eTypeII is unnecessary</w:t>
      </w:r>
      <w:r>
        <w:rPr>
          <w:lang w:val="en-US"/>
        </w:rPr>
        <w:t>. Since there co</w:t>
      </w:r>
      <w:r w:rsidR="00257719" w:rsidRPr="00A1007C">
        <w:rPr>
          <w:lang w:val="en-US"/>
        </w:rPr>
        <w:t xml:space="preserve">uld be performance benefits with R16 </w:t>
      </w:r>
      <w:r w:rsidR="00257719" w:rsidRPr="00C36173">
        <w:rPr>
          <w:lang w:val="en-US"/>
        </w:rPr>
        <w:t>eTypeII when compared with R15 TypeII, supporting Rel.16 eTypeII should be preferable.</w:t>
      </w:r>
      <w:r w:rsidR="006F2C9D">
        <w:rPr>
          <w:lang w:val="en-US"/>
        </w:rPr>
        <w:t xml:space="preserve"> </w:t>
      </w:r>
      <w:r w:rsidR="0015444C">
        <w:rPr>
          <w:lang w:val="en-US"/>
        </w:rPr>
        <w:t>Now, f</w:t>
      </w:r>
      <w:r w:rsidR="006F2C9D">
        <w:rPr>
          <w:lang w:val="en-US"/>
        </w:rPr>
        <w:t>or Rel. 16 eTypeII, t</w:t>
      </w:r>
      <w:r w:rsidR="0031398A" w:rsidRPr="00C36173">
        <w:rPr>
          <w:lang w:val="en-US"/>
        </w:rPr>
        <w:t>here were some discussio</w:t>
      </w:r>
      <w:r w:rsidR="00D26AAB">
        <w:rPr>
          <w:lang w:val="en-US"/>
        </w:rPr>
        <w:t>n</w:t>
      </w:r>
      <w:r w:rsidR="006F2C9D">
        <w:rPr>
          <w:lang w:val="en-US"/>
        </w:rPr>
        <w:t xml:space="preserve"> previously</w:t>
      </w:r>
      <w:r w:rsidR="00D26AAB">
        <w:rPr>
          <w:lang w:val="en-US"/>
        </w:rPr>
        <w:t xml:space="preserve"> on whether </w:t>
      </w:r>
      <w:r w:rsidR="006F2C9D">
        <w:rPr>
          <w:lang w:val="en-US"/>
        </w:rPr>
        <w:t>all features of Rel.16 eTypeII should be</w:t>
      </w:r>
      <w:r w:rsidR="00D26AAB">
        <w:rPr>
          <w:lang w:val="en-US"/>
        </w:rPr>
        <w:t xml:space="preserve"> supported for BWP size &lt; 24 PRBs, or restricting the support to only a subset of them is sufficient</w:t>
      </w:r>
      <w:r w:rsidR="0031398A" w:rsidRPr="00C36173">
        <w:rPr>
          <w:lang w:val="en-US"/>
        </w:rPr>
        <w:t xml:space="preserve">. </w:t>
      </w:r>
      <w:r w:rsidR="006F2C9D">
        <w:rPr>
          <w:lang w:val="en-US"/>
        </w:rPr>
        <w:t xml:space="preserve">A few examples </w:t>
      </w:r>
      <w:r w:rsidR="00C36173" w:rsidRPr="00C36173">
        <w:rPr>
          <w:lang w:val="en-US"/>
        </w:rPr>
        <w:t>of</w:t>
      </w:r>
      <w:r w:rsidR="00D26AAB">
        <w:rPr>
          <w:lang w:val="en-US"/>
        </w:rPr>
        <w:t xml:space="preserve"> restrictions </w:t>
      </w:r>
      <w:r w:rsidR="00A50FDD">
        <w:rPr>
          <w:lang w:val="en-US"/>
        </w:rPr>
        <w:t>a</w:t>
      </w:r>
      <w:r w:rsidR="005344D9">
        <w:rPr>
          <w:lang w:val="en-US"/>
        </w:rPr>
        <w:t xml:space="preserve">re </w:t>
      </w:r>
      <w:r w:rsidR="00D26AAB">
        <w:rPr>
          <w:lang w:val="en-US"/>
        </w:rPr>
        <w:t>as follows.</w:t>
      </w:r>
    </w:p>
    <w:p w14:paraId="2E77C628" w14:textId="6898AF5A" w:rsidR="0031398A" w:rsidRPr="00C36173" w:rsidRDefault="00257719" w:rsidP="00C05FEA">
      <w:pPr>
        <w:pStyle w:val="ListParagraph"/>
        <w:numPr>
          <w:ilvl w:val="0"/>
          <w:numId w:val="42"/>
        </w:numPr>
        <w:ind w:leftChars="0"/>
        <w:rPr>
          <w:sz w:val="20"/>
        </w:rPr>
      </w:pPr>
      <w:r w:rsidRPr="00C36173">
        <w:rPr>
          <w:sz w:val="20"/>
        </w:rPr>
        <w:t>WB CSI report</w:t>
      </w:r>
      <w:r w:rsidR="00C36173" w:rsidRPr="00C36173">
        <w:rPr>
          <w:sz w:val="20"/>
        </w:rPr>
        <w:t>ing</w:t>
      </w:r>
      <w:r w:rsidR="00D26AAB">
        <w:rPr>
          <w:sz w:val="20"/>
        </w:rPr>
        <w:t xml:space="preserve"> only</w:t>
      </w:r>
      <w:r w:rsidR="00C36173" w:rsidRPr="00C36173">
        <w:rPr>
          <w:sz w:val="20"/>
        </w:rPr>
        <w:t xml:space="preserve">: </w:t>
      </w:r>
      <w:r w:rsidR="0015444C">
        <w:rPr>
          <w:sz w:val="20"/>
        </w:rPr>
        <w:t xml:space="preserve">based on the offline agreement, the support of BWP size &lt; 24 PRBs is restricted to </w:t>
      </w:r>
      <w:r w:rsidR="00D26AAB">
        <w:rPr>
          <w:sz w:val="20"/>
        </w:rPr>
        <w:t xml:space="preserve">WB CSI reporting </w:t>
      </w:r>
      <w:r w:rsidR="0015444C">
        <w:rPr>
          <w:sz w:val="20"/>
        </w:rPr>
        <w:t xml:space="preserve">(and for </w:t>
      </w:r>
      <w:r w:rsidR="00C36173" w:rsidRPr="00C36173">
        <w:rPr>
          <w:sz w:val="20"/>
        </w:rPr>
        <w:t>TypeI single panel codeb</w:t>
      </w:r>
      <w:r w:rsidR="00D26AAB">
        <w:rPr>
          <w:sz w:val="20"/>
        </w:rPr>
        <w:t>ook</w:t>
      </w:r>
      <w:r w:rsidR="0015444C">
        <w:rPr>
          <w:sz w:val="20"/>
        </w:rPr>
        <w:t>). F</w:t>
      </w:r>
      <w:r w:rsidR="00C36173" w:rsidRPr="00C36173">
        <w:rPr>
          <w:sz w:val="20"/>
        </w:rPr>
        <w:t>or consistency</w:t>
      </w:r>
      <w:r w:rsidR="00D26AAB">
        <w:rPr>
          <w:sz w:val="20"/>
        </w:rPr>
        <w:t xml:space="preserve"> and minimal specification impact</w:t>
      </w:r>
      <w:r w:rsidR="00C36173" w:rsidRPr="00C36173">
        <w:rPr>
          <w:sz w:val="20"/>
        </w:rPr>
        <w:t xml:space="preserve">, it is reasonable to restrict to WB CSI reporting even for </w:t>
      </w:r>
      <w:r w:rsidR="00D26AAB">
        <w:rPr>
          <w:sz w:val="20"/>
        </w:rPr>
        <w:t>eTypeII</w:t>
      </w:r>
      <w:r w:rsidR="00C36173" w:rsidRPr="00C36173">
        <w:rPr>
          <w:sz w:val="20"/>
        </w:rPr>
        <w:t>.</w:t>
      </w:r>
    </w:p>
    <w:p w14:paraId="25304B18" w14:textId="71936208" w:rsidR="0031398A" w:rsidRPr="00C36173" w:rsidRDefault="00B54B17" w:rsidP="00C05FEA">
      <w:pPr>
        <w:pStyle w:val="ListParagraph"/>
        <w:numPr>
          <w:ilvl w:val="0"/>
          <w:numId w:val="42"/>
        </w:numPr>
        <w:ind w:leftChars="0"/>
        <w:rPr>
          <w:sz w:val="20"/>
        </w:rPr>
      </w:pPr>
      <w:r>
        <w:rPr>
          <w:sz w:val="20"/>
        </w:rPr>
        <w:t xml:space="preserve">R=1 only: since </w:t>
      </w:r>
      <w:r w:rsidR="00257719" w:rsidRPr="00C36173">
        <w:rPr>
          <w:sz w:val="20"/>
        </w:rPr>
        <w:t xml:space="preserve">R=2 </w:t>
      </w:r>
      <w:r>
        <w:rPr>
          <w:sz w:val="20"/>
        </w:rPr>
        <w:t>i</w:t>
      </w:r>
      <w:r w:rsidR="00257719" w:rsidRPr="00C36173">
        <w:rPr>
          <w:sz w:val="20"/>
        </w:rPr>
        <w:t>mplies two precoding matrices</w:t>
      </w:r>
      <w:r>
        <w:rPr>
          <w:sz w:val="20"/>
        </w:rPr>
        <w:t xml:space="preserve"> (</w:t>
      </w:r>
      <w:r w:rsidR="00257719" w:rsidRPr="00C36173">
        <w:rPr>
          <w:sz w:val="20"/>
        </w:rPr>
        <w:t>hence not WB CSI</w:t>
      </w:r>
      <w:r>
        <w:rPr>
          <w:sz w:val="20"/>
        </w:rPr>
        <w:t xml:space="preserve">), R=2 can’t be supported. So, restriction to R=1 is implied if we restrict to WB CSI reporting. </w:t>
      </w:r>
    </w:p>
    <w:p w14:paraId="15B145E4" w14:textId="0F356FA9" w:rsidR="0031398A" w:rsidRPr="00C36173" w:rsidRDefault="0031398A" w:rsidP="00C05FEA">
      <w:pPr>
        <w:pStyle w:val="ListParagraph"/>
        <w:numPr>
          <w:ilvl w:val="0"/>
          <w:numId w:val="42"/>
        </w:numPr>
        <w:ind w:leftChars="0"/>
        <w:rPr>
          <w:sz w:val="20"/>
        </w:rPr>
      </w:pPr>
      <w:r w:rsidRPr="00C36173">
        <w:rPr>
          <w:sz w:val="20"/>
        </w:rPr>
        <w:t>R</w:t>
      </w:r>
      <w:r w:rsidR="00257719" w:rsidRPr="00C36173">
        <w:rPr>
          <w:sz w:val="20"/>
        </w:rPr>
        <w:t xml:space="preserve">estriction to </w:t>
      </w:r>
      <w:r w:rsidR="00EC466F" w:rsidRPr="00C36173">
        <w:rPr>
          <w:sz w:val="20"/>
        </w:rPr>
        <w:t>low-rank (e.g. rank 1-2)</w:t>
      </w:r>
      <w:r w:rsidR="00B54B17">
        <w:rPr>
          <w:sz w:val="20"/>
        </w:rPr>
        <w:t>:</w:t>
      </w:r>
      <w:r w:rsidR="00257719" w:rsidRPr="00C36173">
        <w:rPr>
          <w:sz w:val="20"/>
        </w:rPr>
        <w:t xml:space="preserve"> </w:t>
      </w:r>
      <w:r w:rsidR="00B54B17">
        <w:rPr>
          <w:sz w:val="20"/>
        </w:rPr>
        <w:t>t</w:t>
      </w:r>
      <w:r w:rsidR="00EC466F" w:rsidRPr="00C36173">
        <w:rPr>
          <w:sz w:val="20"/>
        </w:rPr>
        <w:t>he</w:t>
      </w:r>
      <w:r w:rsidR="00B54B17">
        <w:rPr>
          <w:sz w:val="20"/>
        </w:rPr>
        <w:t xml:space="preserve"> main</w:t>
      </w:r>
      <w:r w:rsidR="00EC466F" w:rsidRPr="00C36173">
        <w:rPr>
          <w:sz w:val="20"/>
        </w:rPr>
        <w:t xml:space="preserve"> motivation </w:t>
      </w:r>
      <w:r w:rsidR="00B54B17">
        <w:rPr>
          <w:sz w:val="20"/>
        </w:rPr>
        <w:t xml:space="preserve">for rank restriction </w:t>
      </w:r>
      <w:r w:rsidR="00EC466F" w:rsidRPr="00C36173">
        <w:rPr>
          <w:sz w:val="20"/>
        </w:rPr>
        <w:t>is t</w:t>
      </w:r>
      <w:r w:rsidRPr="00C36173">
        <w:rPr>
          <w:sz w:val="20"/>
        </w:rPr>
        <w:t>hat</w:t>
      </w:r>
      <w:r w:rsidR="00B54B17">
        <w:rPr>
          <w:sz w:val="20"/>
        </w:rPr>
        <w:t>,</w:t>
      </w:r>
      <w:r w:rsidRPr="00C36173">
        <w:rPr>
          <w:sz w:val="20"/>
        </w:rPr>
        <w:t xml:space="preserve"> f</w:t>
      </w:r>
      <w:r w:rsidR="00257719" w:rsidRPr="00C36173">
        <w:rPr>
          <w:sz w:val="20"/>
        </w:rPr>
        <w:t>or BWP</w:t>
      </w:r>
      <w:r w:rsidR="00B54B17">
        <w:rPr>
          <w:sz w:val="20"/>
        </w:rPr>
        <w:t xml:space="preserve"> size &lt; 24 PRBs</w:t>
      </w:r>
      <w:r w:rsidR="00257719" w:rsidRPr="00C36173">
        <w:rPr>
          <w:sz w:val="20"/>
        </w:rPr>
        <w:t xml:space="preserve"> and WB CSI</w:t>
      </w:r>
      <w:r w:rsidR="00B54B17">
        <w:rPr>
          <w:sz w:val="20"/>
        </w:rPr>
        <w:t xml:space="preserve"> reporting</w:t>
      </w:r>
      <w:r w:rsidR="00257719" w:rsidRPr="00C36173">
        <w:rPr>
          <w:sz w:val="20"/>
        </w:rPr>
        <w:t>, the probability of reporting high rank WB CSI is likely to be extremely small.</w:t>
      </w:r>
      <w:r w:rsidR="00B54B17">
        <w:rPr>
          <w:sz w:val="20"/>
        </w:rPr>
        <w:t xml:space="preserve"> Hence, there may not any performance impact</w:t>
      </w:r>
      <w:r w:rsidR="00257719" w:rsidRPr="00C36173">
        <w:rPr>
          <w:sz w:val="20"/>
        </w:rPr>
        <w:t xml:space="preserve"> in restricting to low rank values. This can </w:t>
      </w:r>
      <w:r w:rsidR="00B54B17">
        <w:rPr>
          <w:sz w:val="20"/>
        </w:rPr>
        <w:t xml:space="preserve">also </w:t>
      </w:r>
      <w:r w:rsidR="00257719" w:rsidRPr="00C36173">
        <w:rPr>
          <w:sz w:val="20"/>
        </w:rPr>
        <w:t xml:space="preserve">reduce UE computation burden. It can also handle </w:t>
      </w:r>
      <w:r w:rsidR="0086369C">
        <w:rPr>
          <w:sz w:val="20"/>
        </w:rPr>
        <w:t>unexpected</w:t>
      </w:r>
      <w:r w:rsidR="00257719" w:rsidRPr="00C36173">
        <w:rPr>
          <w:sz w:val="20"/>
        </w:rPr>
        <w:t xml:space="preserve"> UE </w:t>
      </w:r>
      <w:r w:rsidR="00B54B17" w:rsidRPr="00C36173">
        <w:rPr>
          <w:sz w:val="20"/>
        </w:rPr>
        <w:t>behaviours</w:t>
      </w:r>
      <w:r w:rsidR="00257719" w:rsidRPr="00C36173">
        <w:rPr>
          <w:sz w:val="20"/>
        </w:rPr>
        <w:t xml:space="preserve"> for some </w:t>
      </w:r>
      <m:oMath>
        <m:r>
          <w:rPr>
            <w:rFonts w:ascii="Cambria Math" w:hAnsi="Cambria Math"/>
            <w:sz w:val="20"/>
          </w:rPr>
          <m:t>(L,p,β)</m:t>
        </m:r>
      </m:oMath>
      <w:r w:rsidR="00B54B17">
        <w:rPr>
          <w:sz w:val="20"/>
        </w:rPr>
        <w:t xml:space="preserve"> combinations, </w:t>
      </w:r>
      <w:r w:rsidR="00257719" w:rsidRPr="00C36173">
        <w:rPr>
          <w:sz w:val="20"/>
        </w:rPr>
        <w:t>e.g. (2,1/4,1/4)</w:t>
      </w:r>
      <w:r w:rsidR="00B54B17">
        <w:rPr>
          <w:sz w:val="20"/>
        </w:rPr>
        <w:t>,</w:t>
      </w:r>
      <w:r w:rsidR="00257719" w:rsidRPr="00C36173">
        <w:rPr>
          <w:sz w:val="20"/>
        </w:rPr>
        <w:t xml:space="preserve"> </w:t>
      </w:r>
      <w:r w:rsidR="00B54B17">
        <w:rPr>
          <w:sz w:val="20"/>
        </w:rPr>
        <w:t>if the number of subbands is too small (e.g. number of subbands = 3)</w:t>
      </w:r>
      <w:r w:rsidR="00257719" w:rsidRPr="00C36173">
        <w:rPr>
          <w:sz w:val="20"/>
        </w:rPr>
        <w:t xml:space="preserve">. </w:t>
      </w:r>
      <w:r w:rsidR="00C3245B">
        <w:rPr>
          <w:sz w:val="20"/>
        </w:rPr>
        <w:t xml:space="preserve">Finally, </w:t>
      </w:r>
      <w:r w:rsidR="00257719" w:rsidRPr="00C36173">
        <w:rPr>
          <w:sz w:val="20"/>
        </w:rPr>
        <w:t>sinc</w:t>
      </w:r>
      <w:r w:rsidR="00C3245B">
        <w:rPr>
          <w:sz w:val="20"/>
        </w:rPr>
        <w:t>e small BWPs is primarily useful</w:t>
      </w:r>
      <w:r w:rsidR="00257719" w:rsidRPr="00C36173">
        <w:rPr>
          <w:sz w:val="20"/>
        </w:rPr>
        <w:t xml:space="preserve"> for REDCAP UEs, </w:t>
      </w:r>
      <w:r w:rsidR="00C3245B">
        <w:rPr>
          <w:sz w:val="20"/>
        </w:rPr>
        <w:t>rank restriction to low rank values</w:t>
      </w:r>
      <w:r w:rsidRPr="00C36173">
        <w:rPr>
          <w:sz w:val="20"/>
        </w:rPr>
        <w:t xml:space="preserve"> is reasonable.</w:t>
      </w:r>
    </w:p>
    <w:p w14:paraId="2EDE40F6" w14:textId="23E0F88C" w:rsidR="00257719" w:rsidRDefault="0031398A" w:rsidP="00C05FEA">
      <w:pPr>
        <w:pStyle w:val="ListParagraph"/>
        <w:numPr>
          <w:ilvl w:val="0"/>
          <w:numId w:val="42"/>
        </w:numPr>
        <w:ind w:leftChars="0"/>
        <w:rPr>
          <w:sz w:val="20"/>
        </w:rPr>
      </w:pPr>
      <w:r w:rsidRPr="00C36173">
        <w:rPr>
          <w:sz w:val="20"/>
        </w:rPr>
        <w:t xml:space="preserve">Restricting to </w:t>
      </w:r>
      <m:oMath>
        <m:r>
          <w:rPr>
            <w:rFonts w:ascii="Cambria Math" w:hAnsi="Cambria Math"/>
            <w:sz w:val="20"/>
          </w:rPr>
          <m:t>L∈{2,4}</m:t>
        </m:r>
      </m:oMath>
      <w:r w:rsidRPr="00C36173">
        <w:rPr>
          <w:sz w:val="20"/>
        </w:rPr>
        <w:t xml:space="preserve"> only</w:t>
      </w:r>
      <w:r w:rsidR="00A06973">
        <w:rPr>
          <w:sz w:val="20"/>
        </w:rPr>
        <w:t xml:space="preserve">: since support of </w:t>
      </w:r>
      <w:r w:rsidR="00A06973" w:rsidRPr="0086369C">
        <w:rPr>
          <w:i/>
          <w:sz w:val="20"/>
        </w:rPr>
        <w:t>L</w:t>
      </w:r>
      <w:r w:rsidR="00A06973">
        <w:rPr>
          <w:sz w:val="20"/>
        </w:rPr>
        <w:t xml:space="preserve">=6 is restricted to 32 CSI-RS antenna ports, which may not be configured to a UE (e.g. a REDCAP UE) configured with small BWPs, </w:t>
      </w:r>
      <w:r w:rsidR="0086369C">
        <w:rPr>
          <w:sz w:val="20"/>
        </w:rPr>
        <w:t xml:space="preserve">hence </w:t>
      </w:r>
      <w:r w:rsidR="00A06973">
        <w:rPr>
          <w:sz w:val="20"/>
        </w:rPr>
        <w:t xml:space="preserve">the restriction to </w:t>
      </w:r>
      <m:oMath>
        <m:r>
          <w:rPr>
            <w:rFonts w:ascii="Cambria Math" w:hAnsi="Cambria Math"/>
            <w:sz w:val="20"/>
          </w:rPr>
          <m:t>L∈{2,4}</m:t>
        </m:r>
      </m:oMath>
      <w:r w:rsidR="00A06973">
        <w:rPr>
          <w:sz w:val="20"/>
        </w:rPr>
        <w:t xml:space="preserve"> is also reasonable.</w:t>
      </w:r>
    </w:p>
    <w:p w14:paraId="1B37E847" w14:textId="3B25AEFC" w:rsidR="005F6F4D" w:rsidRPr="00C36173" w:rsidRDefault="005F6F4D" w:rsidP="00C05FEA">
      <w:pPr>
        <w:pStyle w:val="ListParagraph"/>
        <w:numPr>
          <w:ilvl w:val="0"/>
          <w:numId w:val="42"/>
        </w:numPr>
        <w:ind w:leftChars="0"/>
        <w:rPr>
          <w:sz w:val="20"/>
        </w:rPr>
      </w:pPr>
      <w:r>
        <w:rPr>
          <w:sz w:val="20"/>
        </w:rPr>
        <w:t>Restriction to small number of ports: for similar reasons explained above, the number of CSI-RS ports could also be restricted to a set of smaller values, e.g. {2,4,8}.</w:t>
      </w:r>
    </w:p>
    <w:p w14:paraId="22EAD042" w14:textId="27C3D6C2" w:rsidR="0031398A" w:rsidRPr="00C36173" w:rsidRDefault="0086369C" w:rsidP="00C36173">
      <w:pPr>
        <w:rPr>
          <w:sz w:val="20"/>
        </w:rPr>
      </w:pPr>
      <w:r>
        <w:rPr>
          <w:sz w:val="20"/>
        </w:rPr>
        <w:t xml:space="preserve">Finally, </w:t>
      </w:r>
      <w:r w:rsidR="00A93476">
        <w:rPr>
          <w:sz w:val="20"/>
        </w:rPr>
        <w:t xml:space="preserve">since </w:t>
      </w:r>
      <w:r>
        <w:rPr>
          <w:sz w:val="20"/>
        </w:rPr>
        <w:t>t</w:t>
      </w:r>
      <w:r w:rsidR="00965F17" w:rsidRPr="00C36173">
        <w:rPr>
          <w:sz w:val="20"/>
        </w:rPr>
        <w:t xml:space="preserve">he restriction </w:t>
      </w:r>
      <w:r w:rsidR="00A93476">
        <w:rPr>
          <w:sz w:val="20"/>
        </w:rPr>
        <w:t>is related to (sub-) features of eTypeII</w:t>
      </w:r>
      <w:r>
        <w:rPr>
          <w:sz w:val="20"/>
        </w:rPr>
        <w:t xml:space="preserve">, the discussion on potential restriction </w:t>
      </w:r>
      <w:r w:rsidR="00965F17" w:rsidRPr="00C36173">
        <w:rPr>
          <w:sz w:val="20"/>
        </w:rPr>
        <w:t>could be together with the UE feature discussion.</w:t>
      </w:r>
    </w:p>
    <w:p w14:paraId="758881AD" w14:textId="0AB6E565" w:rsidR="0086369C" w:rsidRDefault="0086369C" w:rsidP="0086369C">
      <w:pPr>
        <w:pStyle w:val="0Maintext"/>
        <w:spacing w:after="120" w:afterAutospacing="0"/>
        <w:ind w:firstLine="0"/>
        <w:rPr>
          <w:i/>
        </w:rPr>
      </w:pPr>
      <w:r w:rsidRPr="008F512C">
        <w:rPr>
          <w:rFonts w:eastAsiaTheme="minorEastAsia" w:cs="Times New Roman"/>
          <w:b/>
          <w:i/>
          <w:color w:val="000000" w:themeColor="text1"/>
          <w:kern w:val="24"/>
        </w:rPr>
        <w:t>Proposal</w:t>
      </w:r>
      <w:r w:rsidR="0063560E" w:rsidRPr="008F512C">
        <w:rPr>
          <w:rFonts w:eastAsiaTheme="minorEastAsia" w:cs="Times New Roman"/>
          <w:b/>
          <w:i/>
          <w:color w:val="000000" w:themeColor="text1"/>
          <w:kern w:val="24"/>
        </w:rPr>
        <w:t xml:space="preserve"> 1</w:t>
      </w:r>
      <w:r w:rsidRPr="0086369C">
        <w:rPr>
          <w:rFonts w:eastAsiaTheme="minorEastAsia" w:cs="Times New Roman"/>
          <w:i/>
          <w:color w:val="000000" w:themeColor="text1"/>
          <w:kern w:val="24"/>
        </w:rPr>
        <w:t>:</w:t>
      </w:r>
      <w:r>
        <w:rPr>
          <w:rFonts w:eastAsiaTheme="minorEastAsia" w:cs="Times New Roman"/>
          <w:color w:val="000000" w:themeColor="text1"/>
          <w:kern w:val="24"/>
        </w:rPr>
        <w:t xml:space="preserve"> </w:t>
      </w:r>
      <w:r w:rsidRPr="0086369C">
        <w:rPr>
          <w:rFonts w:eastAsiaTheme="minorEastAsia" w:cs="Times New Roman"/>
          <w:i/>
          <w:color w:val="000000" w:themeColor="text1"/>
          <w:kern w:val="24"/>
        </w:rPr>
        <w:t xml:space="preserve">On the support of CSI reporting for BWP size &lt; 24 PRBs, </w:t>
      </w:r>
      <w:r>
        <w:rPr>
          <w:rFonts w:eastAsiaTheme="minorEastAsia" w:cs="Times New Roman"/>
          <w:i/>
          <w:color w:val="000000" w:themeColor="text1"/>
          <w:kern w:val="24"/>
        </w:rPr>
        <w:t>extend the support of</w:t>
      </w:r>
      <w:r w:rsidRPr="0086369C">
        <w:rPr>
          <w:rFonts w:eastAsiaTheme="minorEastAsia" w:cs="Times New Roman"/>
          <w:i/>
          <w:color w:val="000000" w:themeColor="text1"/>
          <w:kern w:val="24"/>
        </w:rPr>
        <w:t xml:space="preserve"> wideband CSI reporting </w:t>
      </w:r>
      <w:r>
        <w:rPr>
          <w:rFonts w:eastAsiaTheme="minorEastAsia" w:cs="Times New Roman"/>
          <w:i/>
          <w:color w:val="000000" w:themeColor="text1"/>
          <w:kern w:val="24"/>
        </w:rPr>
        <w:t>to</w:t>
      </w:r>
      <w:r w:rsidRPr="0086369C">
        <w:rPr>
          <w:rFonts w:eastAsiaTheme="minorEastAsia" w:cs="Times New Roman"/>
          <w:i/>
          <w:color w:val="000000" w:themeColor="text1"/>
          <w:kern w:val="24"/>
        </w:rPr>
        <w:t xml:space="preserve"> Rel.16 Type II</w:t>
      </w:r>
      <w:r>
        <w:t xml:space="preserve"> </w:t>
      </w:r>
      <w:r w:rsidRPr="0086369C">
        <w:rPr>
          <w:i/>
        </w:rPr>
        <w:t>with</w:t>
      </w:r>
      <w:r>
        <w:rPr>
          <w:i/>
        </w:rPr>
        <w:t xml:space="preserve"> the following restrictions</w:t>
      </w:r>
      <w:r w:rsidRPr="0086369C">
        <w:rPr>
          <w:i/>
        </w:rPr>
        <w:t xml:space="preserve"> </w:t>
      </w:r>
    </w:p>
    <w:p w14:paraId="35869994" w14:textId="5D21D22A" w:rsidR="00A1007C" w:rsidRDefault="0086369C" w:rsidP="00C05FEA">
      <w:pPr>
        <w:pStyle w:val="0Maintext"/>
        <w:numPr>
          <w:ilvl w:val="0"/>
          <w:numId w:val="43"/>
        </w:numPr>
        <w:spacing w:after="120" w:afterAutospacing="0"/>
      </w:pPr>
      <w:r w:rsidRPr="0086369C">
        <w:rPr>
          <w:i/>
        </w:rPr>
        <w:t>R=1</w:t>
      </w:r>
    </w:p>
    <w:p w14:paraId="1F09678C" w14:textId="77777777" w:rsidR="00731977" w:rsidRDefault="00731977" w:rsidP="00C05FEA">
      <w:pPr>
        <w:pStyle w:val="ListParagraph"/>
        <w:numPr>
          <w:ilvl w:val="0"/>
          <w:numId w:val="43"/>
        </w:numPr>
        <w:ind w:leftChars="0"/>
        <w:rPr>
          <w:i/>
          <w:sz w:val="20"/>
          <w:lang w:val="en-US"/>
        </w:rPr>
      </w:pPr>
      <w:r>
        <w:rPr>
          <w:i/>
          <w:sz w:val="20"/>
          <w:lang w:val="en-US"/>
        </w:rPr>
        <w:t>Discuss a</w:t>
      </w:r>
      <w:r w:rsidR="00A1007C" w:rsidRPr="0086369C">
        <w:rPr>
          <w:i/>
          <w:sz w:val="20"/>
          <w:lang w:val="en-US"/>
        </w:rPr>
        <w:t xml:space="preserve">ny additional restriction </w:t>
      </w:r>
      <w:r w:rsidR="0086369C">
        <w:rPr>
          <w:i/>
          <w:sz w:val="20"/>
          <w:lang w:val="en-US"/>
        </w:rPr>
        <w:t>(</w:t>
      </w:r>
      <w:r w:rsidR="00A1007C" w:rsidRPr="0086369C">
        <w:rPr>
          <w:i/>
          <w:sz w:val="20"/>
          <w:lang w:val="en-US"/>
        </w:rPr>
        <w:t xml:space="preserve">such as </w:t>
      </w:r>
      <w:r w:rsidR="0086369C">
        <w:rPr>
          <w:i/>
          <w:sz w:val="20"/>
          <w:lang w:val="en-US"/>
        </w:rPr>
        <w:t>rank, number of ports, L values etc.)</w:t>
      </w:r>
    </w:p>
    <w:p w14:paraId="4198FE29" w14:textId="19650F79" w:rsidR="00257719" w:rsidRPr="0086369C" w:rsidRDefault="00731977" w:rsidP="00C05FEA">
      <w:pPr>
        <w:pStyle w:val="ListParagraph"/>
        <w:numPr>
          <w:ilvl w:val="1"/>
          <w:numId w:val="43"/>
        </w:numPr>
        <w:ind w:leftChars="0"/>
        <w:rPr>
          <w:i/>
          <w:sz w:val="20"/>
          <w:lang w:val="en-US"/>
        </w:rPr>
      </w:pPr>
      <w:r>
        <w:rPr>
          <w:i/>
          <w:sz w:val="20"/>
          <w:lang w:val="en-US"/>
        </w:rPr>
        <w:t>This discussion c</w:t>
      </w:r>
      <w:r w:rsidR="0086369C">
        <w:rPr>
          <w:i/>
          <w:sz w:val="20"/>
          <w:lang w:val="en-US"/>
        </w:rPr>
        <w:t>an be discussed together with the UE feature discussion</w:t>
      </w:r>
      <w:r>
        <w:rPr>
          <w:i/>
          <w:sz w:val="20"/>
          <w:lang w:val="en-US"/>
        </w:rPr>
        <w:t>.</w:t>
      </w:r>
    </w:p>
    <w:p w14:paraId="018D0843" w14:textId="26D9E9A0" w:rsidR="006A09D5" w:rsidRDefault="006A09D5" w:rsidP="006A09D5">
      <w:pPr>
        <w:pStyle w:val="0Maintext"/>
        <w:spacing w:after="120" w:afterAutospacing="0"/>
        <w:ind w:firstLine="0"/>
        <w:rPr>
          <w:rFonts w:eastAsiaTheme="minorEastAsia" w:cs="Times New Roman"/>
          <w:color w:val="000000" w:themeColor="text1"/>
          <w:kern w:val="24"/>
        </w:rPr>
      </w:pPr>
    </w:p>
    <w:p w14:paraId="0DF3B796" w14:textId="77777777" w:rsidR="00AA7461" w:rsidRDefault="00AA7461" w:rsidP="00AA7461">
      <w:pPr>
        <w:pStyle w:val="Heading1"/>
        <w:tabs>
          <w:tab w:val="clear" w:pos="0"/>
        </w:tabs>
        <w:spacing w:before="240" w:after="60"/>
        <w:ind w:left="360" w:hanging="400"/>
        <w:jc w:val="both"/>
      </w:pPr>
      <w:r>
        <w:t>UE capability</w:t>
      </w:r>
    </w:p>
    <w:p w14:paraId="7366C043" w14:textId="592E8133" w:rsidR="00F22C6C" w:rsidRPr="00D939FF" w:rsidRDefault="00A67C66" w:rsidP="008413A3">
      <w:pPr>
        <w:spacing w:after="120" w:line="288" w:lineRule="auto"/>
        <w:rPr>
          <w:sz w:val="20"/>
          <w:lang w:eastAsia="ko-KR"/>
        </w:rPr>
      </w:pPr>
      <w:r w:rsidRPr="00D939FF">
        <w:rPr>
          <w:sz w:val="20"/>
          <w:lang w:val="en-US"/>
        </w:rPr>
        <w:t xml:space="preserve">In this section, some of the </w:t>
      </w:r>
      <w:r w:rsidR="00E655D3" w:rsidRPr="00D939FF">
        <w:rPr>
          <w:sz w:val="20"/>
          <w:lang w:val="en-US"/>
        </w:rPr>
        <w:t xml:space="preserve">items </w:t>
      </w:r>
      <w:r w:rsidR="002279EE" w:rsidRPr="00D939FF">
        <w:rPr>
          <w:sz w:val="20"/>
          <w:lang w:val="en-US"/>
        </w:rPr>
        <w:t>regarding</w:t>
      </w:r>
      <w:r w:rsidR="00E655D3" w:rsidRPr="00D939FF">
        <w:rPr>
          <w:sz w:val="20"/>
          <w:lang w:val="en-US"/>
        </w:rPr>
        <w:t xml:space="preserve"> UE capability signaling for Rel. 16</w:t>
      </w:r>
      <w:r w:rsidR="00C93BF1" w:rsidRPr="00D939FF">
        <w:rPr>
          <w:sz w:val="20"/>
          <w:lang w:val="en-US"/>
        </w:rPr>
        <w:t xml:space="preserve"> </w:t>
      </w:r>
      <w:r w:rsidR="00E655D3" w:rsidRPr="00D939FF">
        <w:rPr>
          <w:sz w:val="20"/>
          <w:lang w:val="en-US"/>
        </w:rPr>
        <w:t>eTypeII and eTypeII port selection codebooks are discussed</w:t>
      </w:r>
      <w:r w:rsidR="00AA7461" w:rsidRPr="00D939FF">
        <w:rPr>
          <w:sz w:val="20"/>
          <w:lang w:eastAsia="ko-KR"/>
        </w:rPr>
        <w:t>.</w:t>
      </w:r>
    </w:p>
    <w:p w14:paraId="4A98E180" w14:textId="3793692F" w:rsidR="00AA7461" w:rsidRPr="00D939FF" w:rsidRDefault="00F22C6C" w:rsidP="00F22C6C">
      <w:pPr>
        <w:spacing w:after="60"/>
        <w:rPr>
          <w:sz w:val="20"/>
          <w:lang w:eastAsia="ko-KR"/>
        </w:rPr>
      </w:pPr>
      <w:r w:rsidRPr="00D939FF">
        <w:rPr>
          <w:sz w:val="20"/>
          <w:lang w:eastAsia="ko-KR"/>
        </w:rPr>
        <w:t xml:space="preserve">The </w:t>
      </w:r>
      <w:r w:rsidRPr="00D939FF">
        <w:rPr>
          <w:sz w:val="20"/>
          <w:u w:val="single"/>
          <w:lang w:eastAsia="ko-KR"/>
        </w:rPr>
        <w:t>first item</w:t>
      </w:r>
      <w:r w:rsidRPr="00D939FF">
        <w:rPr>
          <w:sz w:val="20"/>
          <w:lang w:eastAsia="ko-KR"/>
        </w:rPr>
        <w:t xml:space="preserve"> is </w:t>
      </w:r>
      <w:r w:rsidR="006052A9" w:rsidRPr="00D939FF">
        <w:rPr>
          <w:sz w:val="20"/>
          <w:lang w:eastAsia="ko-KR"/>
        </w:rPr>
        <w:t xml:space="preserve">whether R=2 and N3&lt;=19 is mandatory or optional. </w:t>
      </w:r>
      <w:r w:rsidR="001D5C12" w:rsidRPr="00D939FF">
        <w:rPr>
          <w:sz w:val="20"/>
          <w:lang w:eastAsia="ko-KR"/>
        </w:rPr>
        <w:t>In our view, t</w:t>
      </w:r>
      <w:r w:rsidR="00791E44" w:rsidRPr="00D939FF">
        <w:rPr>
          <w:sz w:val="20"/>
          <w:lang w:eastAsia="ko-KR"/>
        </w:rPr>
        <w:t>here are at least the following issues with R=2 and N3&lt;=19 being mandatory.</w:t>
      </w:r>
      <w:r w:rsidR="00AA7461" w:rsidRPr="00D939FF">
        <w:rPr>
          <w:sz w:val="20"/>
        </w:rPr>
        <w:t xml:space="preserve"> </w:t>
      </w:r>
    </w:p>
    <w:p w14:paraId="660FD898" w14:textId="6B85C454" w:rsidR="00AA7461" w:rsidRPr="00D939FF" w:rsidRDefault="006052A9" w:rsidP="00C05FEA">
      <w:pPr>
        <w:pStyle w:val="ListParagraph"/>
        <w:numPr>
          <w:ilvl w:val="0"/>
          <w:numId w:val="37"/>
        </w:numPr>
        <w:spacing w:after="160" w:line="256" w:lineRule="auto"/>
        <w:ind w:leftChars="0"/>
        <w:contextualSpacing/>
        <w:rPr>
          <w:sz w:val="20"/>
        </w:rPr>
      </w:pPr>
      <w:r w:rsidRPr="00D939FF">
        <w:rPr>
          <w:sz w:val="20"/>
          <w:lang w:eastAsia="ko-KR"/>
        </w:rPr>
        <w:t xml:space="preserve">R=2 and N3&lt;=19 being mandatory </w:t>
      </w:r>
      <w:r w:rsidR="00AA7461" w:rsidRPr="00D939FF">
        <w:rPr>
          <w:sz w:val="20"/>
        </w:rPr>
        <w:t xml:space="preserve">implies that both R=1 and R=2 are mandatory if the number of CQI subbands is such that </w:t>
      </w:r>
      <w:r w:rsidR="00AA7461" w:rsidRPr="00D939FF">
        <w:rPr>
          <w:rFonts w:eastAsia="SimSun"/>
          <w:sz w:val="20"/>
          <w:lang w:eastAsia="zh-CN"/>
        </w:rPr>
        <w:t xml:space="preserve">N3&lt;=19. </w:t>
      </w:r>
      <w:r w:rsidR="00AA7461" w:rsidRPr="00D939FF">
        <w:rPr>
          <w:sz w:val="20"/>
        </w:rPr>
        <w:t xml:space="preserve">Since UE implementations for R=1 and R=2 can be different in practice, making both mandatory implies that the UE potentially need to support two different implementations just for this feature, which is not desired. We should not mandate UEs to have two different implementations for two R values. </w:t>
      </w:r>
    </w:p>
    <w:p w14:paraId="08F52B0B" w14:textId="77777777" w:rsidR="00AA7461" w:rsidRPr="00D939FF" w:rsidRDefault="00AA7461" w:rsidP="00C05FEA">
      <w:pPr>
        <w:pStyle w:val="ListParagraph"/>
        <w:numPr>
          <w:ilvl w:val="0"/>
          <w:numId w:val="37"/>
        </w:numPr>
        <w:spacing w:after="160" w:line="256" w:lineRule="auto"/>
        <w:ind w:leftChars="0"/>
        <w:contextualSpacing/>
        <w:rPr>
          <w:sz w:val="20"/>
        </w:rPr>
      </w:pPr>
      <w:r w:rsidRPr="00D939FF">
        <w:rPr>
          <w:sz w:val="20"/>
        </w:rPr>
        <w:t xml:space="preserve">The complexity of R=2 is significantly larger than that of than R=1, at least in most of the cases. </w:t>
      </w:r>
    </w:p>
    <w:p w14:paraId="40810715" w14:textId="77777777" w:rsidR="00AA7461" w:rsidRPr="00D939FF" w:rsidRDefault="00AA7461" w:rsidP="00C05FEA">
      <w:pPr>
        <w:pStyle w:val="ListParagraph"/>
        <w:numPr>
          <w:ilvl w:val="0"/>
          <w:numId w:val="37"/>
        </w:numPr>
        <w:spacing w:after="160" w:line="256" w:lineRule="auto"/>
        <w:ind w:leftChars="0"/>
        <w:contextualSpacing/>
        <w:rPr>
          <w:sz w:val="20"/>
        </w:rPr>
      </w:pPr>
      <w:r w:rsidRPr="00D939FF">
        <w:rPr>
          <w:sz w:val="20"/>
        </w:rPr>
        <w:lastRenderedPageBreak/>
        <w:t>The gain with R=2 is expected to be significant only for large number CQI SBs and large BW sizes. For small number of SBs or/and small BW sizes, we are not sure R=2 has significant gain over R=1. So, for us, large number CQI SBs and large BW sizes are relevant for R=2 discussion.</w:t>
      </w:r>
    </w:p>
    <w:p w14:paraId="28C64E5A" w14:textId="2D370E13" w:rsidR="006052A9" w:rsidRPr="00D939FF" w:rsidRDefault="006052A9" w:rsidP="00AA7461">
      <w:pPr>
        <w:rPr>
          <w:sz w:val="20"/>
        </w:rPr>
      </w:pPr>
      <w:r w:rsidRPr="00D939FF">
        <w:rPr>
          <w:sz w:val="20"/>
        </w:rPr>
        <w:t xml:space="preserve">Due to the above-mentioned </w:t>
      </w:r>
      <w:r w:rsidR="002279C2" w:rsidRPr="00D939FF">
        <w:rPr>
          <w:sz w:val="20"/>
        </w:rPr>
        <w:t>issues</w:t>
      </w:r>
      <w:r w:rsidRPr="00D939FF">
        <w:rPr>
          <w:sz w:val="20"/>
        </w:rPr>
        <w:t>, R=2 and N3&lt;=19 should be optional.</w:t>
      </w:r>
    </w:p>
    <w:p w14:paraId="30F99269" w14:textId="721F864E" w:rsidR="00AA7461" w:rsidRPr="00D939FF" w:rsidRDefault="00EA2359" w:rsidP="00AA7461">
      <w:pPr>
        <w:rPr>
          <w:sz w:val="20"/>
          <w:lang w:eastAsia="zh-CN"/>
        </w:rPr>
      </w:pPr>
      <w:r w:rsidRPr="00D939FF">
        <w:rPr>
          <w:sz w:val="20"/>
          <w:lang w:eastAsia="ko-KR"/>
        </w:rPr>
        <w:t xml:space="preserve">The </w:t>
      </w:r>
      <w:r w:rsidRPr="00D939FF">
        <w:rPr>
          <w:sz w:val="20"/>
          <w:u w:val="single"/>
          <w:lang w:eastAsia="ko-KR"/>
        </w:rPr>
        <w:t>second item</w:t>
      </w:r>
      <w:r w:rsidRPr="00D939FF">
        <w:rPr>
          <w:sz w:val="20"/>
          <w:lang w:eastAsia="ko-KR"/>
        </w:rPr>
        <w:t xml:space="preserve"> is </w:t>
      </w:r>
      <w:r w:rsidR="00D336A2" w:rsidRPr="00D939FF">
        <w:rPr>
          <w:sz w:val="20"/>
          <w:lang w:eastAsia="ko-KR"/>
        </w:rPr>
        <w:t xml:space="preserve">on the support of mixed codebook types or concurrent codebooks. </w:t>
      </w:r>
      <w:r w:rsidR="00AA7461" w:rsidRPr="00D939FF">
        <w:rPr>
          <w:sz w:val="20"/>
        </w:rPr>
        <w:t>Regarding concurrent codebooks, the</w:t>
      </w:r>
      <w:r w:rsidR="00AA7461" w:rsidRPr="00D939FF">
        <w:rPr>
          <w:sz w:val="20"/>
          <w:lang w:eastAsia="zh-CN"/>
        </w:rPr>
        <w:t xml:space="preserve"> likelihood of and need for NW configuring both Type I and Type II codebooks to a UE is unclear to us. Also, the system performance gain of such codebook configurations (when compared with the case when only Type I or only Type II codebook is configured), if there is any, needs further investigation. In addition, the number of CSI-RS resource for Type II codebook is restricted to one. Hence, the support for additional UE capability (in addition to what we have in Rel. 15) for concurrent codebooks is </w:t>
      </w:r>
      <w:r w:rsidR="009E2D1F" w:rsidRPr="00D939FF">
        <w:rPr>
          <w:sz w:val="20"/>
          <w:lang w:eastAsia="zh-CN"/>
        </w:rPr>
        <w:t>not essential</w:t>
      </w:r>
      <w:r w:rsidR="00AA7461" w:rsidRPr="00D939FF">
        <w:rPr>
          <w:sz w:val="20"/>
          <w:lang w:eastAsia="zh-CN"/>
        </w:rPr>
        <w:t xml:space="preserve"> in our view. </w:t>
      </w:r>
    </w:p>
    <w:p w14:paraId="3C5685EC" w14:textId="1B06C306" w:rsidR="00585D0E" w:rsidRPr="00D939FF" w:rsidRDefault="00AE2159" w:rsidP="00AE2159">
      <w:pPr>
        <w:spacing w:after="0"/>
        <w:rPr>
          <w:sz w:val="20"/>
        </w:rPr>
      </w:pPr>
      <w:r w:rsidRPr="00D939FF">
        <w:rPr>
          <w:sz w:val="20"/>
          <w:lang w:eastAsia="ko-KR"/>
        </w:rPr>
        <w:t xml:space="preserve">The </w:t>
      </w:r>
      <w:r w:rsidRPr="00D939FF">
        <w:rPr>
          <w:sz w:val="20"/>
          <w:u w:val="single"/>
          <w:lang w:eastAsia="ko-KR"/>
        </w:rPr>
        <w:t>third item</w:t>
      </w:r>
      <w:r w:rsidRPr="00D939FF">
        <w:rPr>
          <w:sz w:val="20"/>
          <w:lang w:eastAsia="ko-KR"/>
        </w:rPr>
        <w:t xml:space="preserve"> is whether L=6 is optional.</w:t>
      </w:r>
      <w:r w:rsidRPr="00D939FF">
        <w:rPr>
          <w:sz w:val="20"/>
        </w:rPr>
        <w:t xml:space="preserve"> </w:t>
      </w:r>
      <w:r w:rsidR="005F1CCE" w:rsidRPr="00D939FF">
        <w:rPr>
          <w:sz w:val="20"/>
        </w:rPr>
        <w:t>Since the support of L=6 is restricted to 32 CSI-RS ports, rank 1-2, and R=1 only; the potential performance gain of L=6 is not significant when compared with L=4; and the UE complexity of implementing L=6 could be large, the support of L=6 should be optional.</w:t>
      </w:r>
      <w:r w:rsidRPr="00D939FF">
        <w:rPr>
          <w:sz w:val="20"/>
        </w:rPr>
        <w:t xml:space="preserve"> Note that it has already been agreed that</w:t>
      </w:r>
      <w:r w:rsidR="005F1CCE" w:rsidRPr="00D939FF">
        <w:rPr>
          <w:sz w:val="20"/>
        </w:rPr>
        <w:t xml:space="preserve"> </w:t>
      </w:r>
      <m:oMath>
        <m:r>
          <w:rPr>
            <w:rFonts w:ascii="Cambria Math" w:hAnsi="Cambria Math"/>
            <w:sz w:val="20"/>
          </w:rPr>
          <m:t>L∈{2,4}</m:t>
        </m:r>
      </m:oMath>
      <w:r w:rsidRPr="00D939FF">
        <w:rPr>
          <w:sz w:val="20"/>
        </w:rPr>
        <w:t xml:space="preserve"> for eTypeII port-selection</w:t>
      </w:r>
      <w:r w:rsidR="005F1CCE" w:rsidRPr="00D939FF">
        <w:rPr>
          <w:sz w:val="20"/>
        </w:rPr>
        <w:t>. H</w:t>
      </w:r>
      <w:r w:rsidRPr="00D939FF">
        <w:rPr>
          <w:sz w:val="20"/>
        </w:rPr>
        <w:t xml:space="preserve">ence, </w:t>
      </w:r>
      <w:r w:rsidR="005F1CCE" w:rsidRPr="00D939FF">
        <w:rPr>
          <w:sz w:val="20"/>
        </w:rPr>
        <w:t>L=6 being optional is applicable to eTypeII codebook only (not to eTypeII port selection codebook)</w:t>
      </w:r>
      <w:r w:rsidRPr="00D939FF">
        <w:rPr>
          <w:sz w:val="20"/>
        </w:rPr>
        <w:t>.</w:t>
      </w:r>
    </w:p>
    <w:p w14:paraId="0D09F9AA" w14:textId="77777777" w:rsidR="00AE2159" w:rsidRPr="00D939FF" w:rsidRDefault="00AE2159" w:rsidP="00AE2159">
      <w:pPr>
        <w:spacing w:after="0"/>
        <w:rPr>
          <w:sz w:val="20"/>
        </w:rPr>
      </w:pPr>
    </w:p>
    <w:p w14:paraId="4FD90729" w14:textId="4B3E5C93" w:rsidR="00585D0E" w:rsidRPr="00D939FF" w:rsidRDefault="00FB5891" w:rsidP="00B63C8F">
      <w:pPr>
        <w:spacing w:after="0"/>
        <w:rPr>
          <w:sz w:val="20"/>
        </w:rPr>
      </w:pPr>
      <w:r w:rsidRPr="00D939FF">
        <w:rPr>
          <w:sz w:val="20"/>
          <w:lang w:eastAsia="ko-KR"/>
        </w:rPr>
        <w:t xml:space="preserve">The </w:t>
      </w:r>
      <w:r w:rsidRPr="00D939FF">
        <w:rPr>
          <w:sz w:val="20"/>
          <w:u w:val="single"/>
          <w:lang w:eastAsia="ko-KR"/>
        </w:rPr>
        <w:t>fourth item</w:t>
      </w:r>
      <w:r w:rsidRPr="00D939FF">
        <w:rPr>
          <w:sz w:val="20"/>
          <w:lang w:eastAsia="ko-KR"/>
        </w:rPr>
        <w:t xml:space="preserve"> is r</w:t>
      </w:r>
      <w:r w:rsidR="00585D0E" w:rsidRPr="00D939FF">
        <w:rPr>
          <w:sz w:val="20"/>
        </w:rPr>
        <w:t>egarding rank 1-4</w:t>
      </w:r>
      <w:r w:rsidRPr="00D939FF">
        <w:rPr>
          <w:sz w:val="20"/>
        </w:rPr>
        <w:t xml:space="preserve">. According to the previous agreement, the support of rank 3-4 is an optional feature. Hence, the support of rank 3-4 requires </w:t>
      </w:r>
      <w:r w:rsidR="00585D0E" w:rsidRPr="00D939FF">
        <w:rPr>
          <w:sz w:val="20"/>
        </w:rPr>
        <w:t xml:space="preserve">additional capability </w:t>
      </w:r>
      <w:r w:rsidRPr="00D939FF">
        <w:rPr>
          <w:sz w:val="20"/>
        </w:rPr>
        <w:t>signalling</w:t>
      </w:r>
      <w:r w:rsidR="00585D0E" w:rsidRPr="00D939FF">
        <w:rPr>
          <w:sz w:val="20"/>
        </w:rPr>
        <w:t>.</w:t>
      </w:r>
    </w:p>
    <w:p w14:paraId="6785841F" w14:textId="77777777" w:rsidR="00FB5891" w:rsidRPr="00D939FF" w:rsidRDefault="00FB5891" w:rsidP="00B63C8F">
      <w:pPr>
        <w:spacing w:after="0"/>
        <w:rPr>
          <w:sz w:val="20"/>
        </w:rPr>
      </w:pPr>
    </w:p>
    <w:p w14:paraId="6948EC77" w14:textId="01CE2705" w:rsidR="00585D0E" w:rsidRPr="00D939FF" w:rsidRDefault="00FB5891" w:rsidP="00FB5891">
      <w:pPr>
        <w:spacing w:after="0"/>
        <w:rPr>
          <w:sz w:val="20"/>
        </w:rPr>
      </w:pPr>
      <w:r w:rsidRPr="00D939FF">
        <w:rPr>
          <w:sz w:val="20"/>
        </w:rPr>
        <w:t xml:space="preserve">The </w:t>
      </w:r>
      <w:r w:rsidRPr="00D939FF">
        <w:rPr>
          <w:sz w:val="20"/>
          <w:u w:val="single"/>
        </w:rPr>
        <w:t>fifth item</w:t>
      </w:r>
      <w:r w:rsidRPr="00D939FF">
        <w:rPr>
          <w:sz w:val="20"/>
        </w:rPr>
        <w:t xml:space="preserve"> is regarding codebook subset restriction (CBSR) for eTypeII codebook.</w:t>
      </w:r>
      <w:r w:rsidR="00585D0E" w:rsidRPr="00D939FF">
        <w:rPr>
          <w:sz w:val="20"/>
        </w:rPr>
        <w:t xml:space="preserve"> </w:t>
      </w:r>
      <w:r w:rsidRPr="00D939FF">
        <w:rPr>
          <w:sz w:val="20"/>
        </w:rPr>
        <w:t xml:space="preserve">According to </w:t>
      </w:r>
      <w:r w:rsidR="00585D0E" w:rsidRPr="00D939FF">
        <w:rPr>
          <w:sz w:val="20"/>
        </w:rPr>
        <w:t>the agreement</w:t>
      </w:r>
      <w:r w:rsidRPr="00D939FF">
        <w:rPr>
          <w:sz w:val="20"/>
        </w:rPr>
        <w:t xml:space="preserve">, the </w:t>
      </w:r>
      <w:r w:rsidR="00585D0E" w:rsidRPr="00D939FF">
        <w:rPr>
          <w:sz w:val="20"/>
        </w:rPr>
        <w:t xml:space="preserve">support </w:t>
      </w:r>
      <w:r w:rsidRPr="00D939FF">
        <w:rPr>
          <w:sz w:val="20"/>
        </w:rPr>
        <w:t xml:space="preserve">of </w:t>
      </w:r>
      <w:r w:rsidR="00585D0E" w:rsidRPr="00D939FF">
        <w:rPr>
          <w:sz w:val="20"/>
        </w:rPr>
        <w:t>“soft” amplitude restriction</w:t>
      </w:r>
      <w:r w:rsidRPr="00D939FF">
        <w:rPr>
          <w:sz w:val="20"/>
        </w:rPr>
        <w:t xml:space="preserve"> is</w:t>
      </w:r>
      <w:r w:rsidR="00585D0E" w:rsidRPr="00D939FF">
        <w:rPr>
          <w:sz w:val="20"/>
        </w:rPr>
        <w:t xml:space="preserve"> an optional feature. </w:t>
      </w:r>
      <w:r w:rsidRPr="00D939FF">
        <w:rPr>
          <w:sz w:val="20"/>
        </w:rPr>
        <w:t xml:space="preserve">Since there is a similar capability signalling of </w:t>
      </w:r>
      <w:r w:rsidRPr="00D939FF">
        <w:rPr>
          <w:i/>
          <w:iCs/>
          <w:sz w:val="20"/>
        </w:rPr>
        <w:t>amplitudeSubsetRestriction</w:t>
      </w:r>
      <w:r w:rsidRPr="00D939FF">
        <w:rPr>
          <w:sz w:val="20"/>
        </w:rPr>
        <w:t xml:space="preserve"> for “soft” amplitude restriction Rel. 15 TypeII CBSR, the same capability signalling can be reused for eType</w:t>
      </w:r>
      <w:r w:rsidR="00585D0E" w:rsidRPr="00D939FF">
        <w:rPr>
          <w:sz w:val="20"/>
        </w:rPr>
        <w:t>II.</w:t>
      </w:r>
    </w:p>
    <w:p w14:paraId="2DA47676" w14:textId="779AF6FE" w:rsidR="00585D0E" w:rsidRPr="00D939FF" w:rsidRDefault="00585D0E" w:rsidP="00B63C8F">
      <w:pPr>
        <w:spacing w:after="0"/>
        <w:ind w:left="360"/>
        <w:rPr>
          <w:sz w:val="20"/>
        </w:rPr>
      </w:pPr>
    </w:p>
    <w:p w14:paraId="19614F8E" w14:textId="088B79E1" w:rsidR="00585D0E" w:rsidRPr="00D939FF" w:rsidRDefault="00414EB3" w:rsidP="00B63C8F">
      <w:pPr>
        <w:spacing w:after="0"/>
        <w:rPr>
          <w:sz w:val="20"/>
        </w:rPr>
      </w:pPr>
      <w:r w:rsidRPr="00D939FF">
        <w:rPr>
          <w:sz w:val="20"/>
        </w:rPr>
        <w:t xml:space="preserve">The </w:t>
      </w:r>
      <w:r w:rsidRPr="00D939FF">
        <w:rPr>
          <w:sz w:val="20"/>
          <w:u w:val="single"/>
        </w:rPr>
        <w:t>sixth item</w:t>
      </w:r>
      <w:r w:rsidRPr="00D939FF">
        <w:rPr>
          <w:sz w:val="20"/>
        </w:rPr>
        <w:t xml:space="preserve"> is about r</w:t>
      </w:r>
      <w:r w:rsidR="00585D0E" w:rsidRPr="00D939FF">
        <w:rPr>
          <w:sz w:val="20"/>
        </w:rPr>
        <w:t xml:space="preserve">ank-restriction </w:t>
      </w:r>
      <w:r w:rsidR="002A03A7" w:rsidRPr="00D939FF">
        <w:rPr>
          <w:sz w:val="20"/>
        </w:rPr>
        <w:t>and UCI omission</w:t>
      </w:r>
      <w:r w:rsidRPr="00D939FF">
        <w:rPr>
          <w:sz w:val="20"/>
        </w:rPr>
        <w:t>. In our view, they should be</w:t>
      </w:r>
      <w:r w:rsidR="00585D0E" w:rsidRPr="00D939FF">
        <w:rPr>
          <w:sz w:val="20"/>
        </w:rPr>
        <w:t xml:space="preserve"> mandatory </w:t>
      </w:r>
      <w:r w:rsidRPr="00D939FF">
        <w:rPr>
          <w:sz w:val="20"/>
        </w:rPr>
        <w:t>similar to Rel.</w:t>
      </w:r>
      <w:r w:rsidR="00585D0E" w:rsidRPr="00D939FF">
        <w:rPr>
          <w:sz w:val="20"/>
        </w:rPr>
        <w:t>15 Type II and Type II port-selection</w:t>
      </w:r>
      <w:r w:rsidRPr="00D939FF">
        <w:rPr>
          <w:sz w:val="20"/>
        </w:rPr>
        <w:t xml:space="preserve"> codebooks</w:t>
      </w:r>
      <w:r w:rsidR="00585D0E" w:rsidRPr="00D939FF">
        <w:rPr>
          <w:sz w:val="20"/>
        </w:rPr>
        <w:t>.</w:t>
      </w:r>
    </w:p>
    <w:p w14:paraId="69CF5978" w14:textId="77777777" w:rsidR="00414EB3" w:rsidRPr="00D939FF" w:rsidRDefault="00414EB3" w:rsidP="00B63C8F">
      <w:pPr>
        <w:spacing w:after="0"/>
        <w:rPr>
          <w:sz w:val="20"/>
        </w:rPr>
      </w:pPr>
    </w:p>
    <w:p w14:paraId="1563D67C" w14:textId="291EE076" w:rsidR="00585D0E" w:rsidRPr="00D939FF" w:rsidRDefault="00414EB3" w:rsidP="00414EB3">
      <w:pPr>
        <w:spacing w:after="0"/>
        <w:rPr>
          <w:sz w:val="20"/>
        </w:rPr>
      </w:pPr>
      <w:r w:rsidRPr="00D939FF">
        <w:rPr>
          <w:sz w:val="20"/>
        </w:rPr>
        <w:t xml:space="preserve">The </w:t>
      </w:r>
      <w:r w:rsidRPr="00D939FF">
        <w:rPr>
          <w:sz w:val="20"/>
          <w:u w:val="single"/>
        </w:rPr>
        <w:t>seventh issue</w:t>
      </w:r>
      <w:r w:rsidRPr="00D939FF">
        <w:rPr>
          <w:sz w:val="20"/>
        </w:rPr>
        <w:t xml:space="preserve"> is r</w:t>
      </w:r>
      <w:r w:rsidR="00585D0E" w:rsidRPr="00D939FF">
        <w:rPr>
          <w:sz w:val="20"/>
        </w:rPr>
        <w:t>egarding the maximum number of configure</w:t>
      </w:r>
      <w:r w:rsidRPr="00D939FF">
        <w:rPr>
          <w:sz w:val="20"/>
        </w:rPr>
        <w:t xml:space="preserve">d aperiodic CSI Report Settings. This feature is general and applicable to any A-CSI in general. Hence, the need for any </w:t>
      </w:r>
      <w:r w:rsidR="0056765B" w:rsidRPr="00D939FF">
        <w:rPr>
          <w:sz w:val="20"/>
        </w:rPr>
        <w:t>such</w:t>
      </w:r>
      <w:r w:rsidRPr="00D939FF">
        <w:rPr>
          <w:sz w:val="20"/>
        </w:rPr>
        <w:t xml:space="preserve"> capability signalling</w:t>
      </w:r>
      <w:r w:rsidR="0056765B" w:rsidRPr="00D939FF">
        <w:rPr>
          <w:sz w:val="20"/>
        </w:rPr>
        <w:t xml:space="preserve"> that is specific to eTypeII or eTypeII port selection codebooks.</w:t>
      </w:r>
    </w:p>
    <w:p w14:paraId="25A743A9" w14:textId="77777777" w:rsidR="00C93BF1" w:rsidRPr="00D939FF" w:rsidRDefault="00C93BF1" w:rsidP="00AA7461">
      <w:pPr>
        <w:rPr>
          <w:b/>
          <w:i/>
          <w:sz w:val="20"/>
          <w:lang w:eastAsia="ko-KR"/>
        </w:rPr>
      </w:pPr>
    </w:p>
    <w:p w14:paraId="0C60AFA7" w14:textId="7D2E2602" w:rsidR="00AA7461" w:rsidRPr="00D939FF" w:rsidRDefault="00AA7461" w:rsidP="00AA7461">
      <w:pPr>
        <w:rPr>
          <w:i/>
          <w:sz w:val="20"/>
          <w:lang w:eastAsia="ko-KR"/>
        </w:rPr>
      </w:pPr>
      <w:r w:rsidRPr="00D939FF">
        <w:rPr>
          <w:b/>
          <w:i/>
          <w:sz w:val="20"/>
          <w:lang w:eastAsia="ko-KR"/>
        </w:rPr>
        <w:t>Proposal 2</w:t>
      </w:r>
      <w:r w:rsidRPr="00D939FF">
        <w:rPr>
          <w:i/>
          <w:sz w:val="20"/>
          <w:lang w:eastAsia="ko-KR"/>
        </w:rPr>
        <w:t>: Regarding UE capability</w:t>
      </w:r>
      <w:r w:rsidR="003673F6">
        <w:rPr>
          <w:i/>
          <w:sz w:val="20"/>
          <w:lang w:eastAsia="ko-KR"/>
        </w:rPr>
        <w:t xml:space="preserve"> for </w:t>
      </w:r>
      <w:r w:rsidR="0023581D">
        <w:rPr>
          <w:i/>
          <w:sz w:val="20"/>
          <w:lang w:eastAsia="ko-KR"/>
        </w:rPr>
        <w:t xml:space="preserve">Rel. 16 </w:t>
      </w:r>
      <w:r w:rsidR="003673F6">
        <w:rPr>
          <w:i/>
          <w:sz w:val="20"/>
          <w:lang w:eastAsia="ko-KR"/>
        </w:rPr>
        <w:t>eTypeII and eTypeII port selection codebooks</w:t>
      </w:r>
      <w:r w:rsidRPr="00D939FF">
        <w:rPr>
          <w:i/>
          <w:sz w:val="20"/>
          <w:lang w:eastAsia="ko-KR"/>
        </w:rPr>
        <w:t>,</w:t>
      </w:r>
    </w:p>
    <w:p w14:paraId="3670BCAD" w14:textId="76A21194" w:rsidR="009F64DD" w:rsidRPr="00D939FF" w:rsidRDefault="009F64DD" w:rsidP="00C05FEA">
      <w:pPr>
        <w:pStyle w:val="ListParagraph"/>
        <w:numPr>
          <w:ilvl w:val="0"/>
          <w:numId w:val="38"/>
        </w:numPr>
        <w:spacing w:before="60" w:after="120" w:line="288" w:lineRule="auto"/>
        <w:ind w:leftChars="0"/>
        <w:jc w:val="both"/>
        <w:rPr>
          <w:i/>
          <w:sz w:val="20"/>
          <w:lang w:eastAsia="ko-KR"/>
        </w:rPr>
      </w:pPr>
      <w:r w:rsidRPr="00D939FF">
        <w:rPr>
          <w:i/>
          <w:sz w:val="20"/>
          <w:lang w:eastAsia="ko-KR"/>
        </w:rPr>
        <w:t xml:space="preserve">The following </w:t>
      </w:r>
      <w:r w:rsidR="00170D86" w:rsidRPr="00D939FF">
        <w:rPr>
          <w:i/>
          <w:sz w:val="20"/>
          <w:lang w:eastAsia="ko-KR"/>
        </w:rPr>
        <w:t>is</w:t>
      </w:r>
      <w:r w:rsidRPr="00D939FF">
        <w:rPr>
          <w:i/>
          <w:sz w:val="20"/>
          <w:lang w:eastAsia="ko-KR"/>
        </w:rPr>
        <w:t xml:space="preserve"> m</w:t>
      </w:r>
      <w:r w:rsidR="006D6EF4" w:rsidRPr="00D939FF">
        <w:rPr>
          <w:i/>
          <w:sz w:val="20"/>
          <w:lang w:eastAsia="ko-KR"/>
        </w:rPr>
        <w:t>andatory</w:t>
      </w:r>
      <w:r w:rsidRPr="00D939FF">
        <w:rPr>
          <w:i/>
          <w:sz w:val="20"/>
          <w:lang w:eastAsia="ko-KR"/>
        </w:rPr>
        <w:t>, hence doesn’t require additional capacity signalling.</w:t>
      </w:r>
    </w:p>
    <w:p w14:paraId="392D8E15" w14:textId="77777777" w:rsidR="009F64DD" w:rsidRPr="00D939FF" w:rsidRDefault="009F64DD"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Rank restriction</w:t>
      </w:r>
    </w:p>
    <w:p w14:paraId="12DBC186" w14:textId="6169F6CA" w:rsidR="006D6EF4" w:rsidRPr="00D939FF" w:rsidRDefault="006D6EF4"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UCI omission</w:t>
      </w:r>
    </w:p>
    <w:p w14:paraId="759D26A0" w14:textId="4CCD5E3E" w:rsidR="006D6EF4" w:rsidRPr="00D939FF" w:rsidRDefault="00170D86" w:rsidP="00C05FEA">
      <w:pPr>
        <w:pStyle w:val="ListParagraph"/>
        <w:numPr>
          <w:ilvl w:val="0"/>
          <w:numId w:val="38"/>
        </w:numPr>
        <w:spacing w:before="60" w:after="120" w:line="288" w:lineRule="auto"/>
        <w:ind w:leftChars="0"/>
        <w:jc w:val="both"/>
        <w:rPr>
          <w:i/>
          <w:sz w:val="20"/>
          <w:lang w:eastAsia="ko-KR"/>
        </w:rPr>
      </w:pPr>
      <w:r w:rsidRPr="00D939FF">
        <w:rPr>
          <w:i/>
          <w:sz w:val="20"/>
          <w:lang w:eastAsia="ko-KR"/>
        </w:rPr>
        <w:t>T</w:t>
      </w:r>
      <w:r w:rsidR="006D6EF4" w:rsidRPr="00D939FF">
        <w:rPr>
          <w:i/>
          <w:sz w:val="20"/>
          <w:lang w:eastAsia="ko-KR"/>
        </w:rPr>
        <w:t xml:space="preserve">he following (sub-)features requires additional capability signalling.  </w:t>
      </w:r>
    </w:p>
    <w:p w14:paraId="2929B1E4" w14:textId="77777777" w:rsidR="006D6EF4" w:rsidRPr="00D939FF" w:rsidRDefault="006D6EF4"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 xml:space="preserve">R=2 and N3&lt;=2 </w:t>
      </w:r>
    </w:p>
    <w:p w14:paraId="7B89C626" w14:textId="70AF2144" w:rsidR="006D6EF4" w:rsidRPr="00D939FF" w:rsidRDefault="006D6EF4"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L=6 for eTypeII codebook</w:t>
      </w:r>
    </w:p>
    <w:p w14:paraId="099C28AA" w14:textId="7729CBAD" w:rsidR="006C5909" w:rsidRPr="00D939FF" w:rsidRDefault="006C5909"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Rank 3-4</w:t>
      </w:r>
    </w:p>
    <w:p w14:paraId="1977A469" w14:textId="0728FFE7" w:rsidR="006C5909" w:rsidRPr="00D939FF" w:rsidRDefault="006C5909"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 xml:space="preserve">Amplitude restriction – reuse Rel.15 parameter </w:t>
      </w:r>
      <w:r w:rsidRPr="00D939FF">
        <w:rPr>
          <w:i/>
          <w:iCs/>
          <w:sz w:val="20"/>
        </w:rPr>
        <w:t>amplitudeSubsetRestriction</w:t>
      </w:r>
    </w:p>
    <w:p w14:paraId="37043A8B" w14:textId="63251111" w:rsidR="00B57CFD" w:rsidRPr="00D939FF" w:rsidRDefault="00B57CFD" w:rsidP="00C05FEA">
      <w:pPr>
        <w:pStyle w:val="ListParagraph"/>
        <w:numPr>
          <w:ilvl w:val="0"/>
          <w:numId w:val="38"/>
        </w:numPr>
        <w:spacing w:before="60" w:after="120" w:line="288" w:lineRule="auto"/>
        <w:ind w:leftChars="0"/>
        <w:jc w:val="both"/>
        <w:rPr>
          <w:i/>
          <w:sz w:val="20"/>
          <w:lang w:eastAsia="ko-KR"/>
        </w:rPr>
      </w:pPr>
      <w:r w:rsidRPr="00D939FF">
        <w:rPr>
          <w:i/>
          <w:sz w:val="20"/>
          <w:lang w:eastAsia="ko-KR"/>
        </w:rPr>
        <w:t>The following</w:t>
      </w:r>
      <w:r w:rsidR="00056D53" w:rsidRPr="00D939FF">
        <w:rPr>
          <w:i/>
          <w:sz w:val="20"/>
          <w:lang w:eastAsia="ko-KR"/>
        </w:rPr>
        <w:t xml:space="preserve"> and corresponding UE capability signalling</w:t>
      </w:r>
      <w:r w:rsidRPr="00D939FF">
        <w:rPr>
          <w:i/>
          <w:sz w:val="20"/>
          <w:lang w:eastAsia="ko-KR"/>
        </w:rPr>
        <w:t xml:space="preserve"> is n</w:t>
      </w:r>
      <w:r w:rsidR="0058433C" w:rsidRPr="00D939FF">
        <w:rPr>
          <w:i/>
          <w:sz w:val="20"/>
          <w:lang w:eastAsia="ko-KR"/>
        </w:rPr>
        <w:t>ot support</w:t>
      </w:r>
      <w:r w:rsidR="0063687E" w:rsidRPr="00D939FF">
        <w:rPr>
          <w:i/>
          <w:sz w:val="20"/>
          <w:lang w:eastAsia="ko-KR"/>
        </w:rPr>
        <w:t>ed</w:t>
      </w:r>
      <w:r w:rsidRPr="00D939FF">
        <w:rPr>
          <w:i/>
          <w:sz w:val="20"/>
          <w:lang w:eastAsia="ko-KR"/>
        </w:rPr>
        <w:t>.</w:t>
      </w:r>
    </w:p>
    <w:p w14:paraId="18232FF8" w14:textId="5C072578" w:rsidR="00B57CFD" w:rsidRPr="00D939FF" w:rsidRDefault="00AA7461"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UE capability signalling for concurrent codebooks</w:t>
      </w:r>
    </w:p>
    <w:p w14:paraId="3EEEEE8A" w14:textId="768462EA" w:rsidR="00AA7461" w:rsidRPr="00D939FF" w:rsidRDefault="00B57CFD"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M</w:t>
      </w:r>
      <w:r w:rsidR="0058433C" w:rsidRPr="00D939FF">
        <w:rPr>
          <w:i/>
          <w:sz w:val="20"/>
          <w:lang w:eastAsia="ko-KR"/>
        </w:rPr>
        <w:t xml:space="preserve">aximum number of configured </w:t>
      </w:r>
      <w:r w:rsidRPr="00D939FF">
        <w:rPr>
          <w:i/>
          <w:sz w:val="20"/>
          <w:lang w:eastAsia="ko-KR"/>
        </w:rPr>
        <w:t>aperiodic</w:t>
      </w:r>
      <w:r w:rsidR="0058433C" w:rsidRPr="00D939FF">
        <w:rPr>
          <w:i/>
          <w:sz w:val="20"/>
          <w:lang w:eastAsia="ko-KR"/>
        </w:rPr>
        <w:t xml:space="preserve"> CSI Report Settings</w:t>
      </w:r>
      <w:r w:rsidR="00AA7461" w:rsidRPr="00D939FF">
        <w:rPr>
          <w:i/>
          <w:sz w:val="20"/>
          <w:lang w:eastAsia="ko-KR"/>
        </w:rPr>
        <w:t xml:space="preserve">. </w:t>
      </w:r>
    </w:p>
    <w:p w14:paraId="290536BC" w14:textId="37EF12C8" w:rsidR="00877448" w:rsidRDefault="00877448" w:rsidP="00877448">
      <w:pPr>
        <w:pStyle w:val="01Section1"/>
        <w:numPr>
          <w:ilvl w:val="0"/>
          <w:numId w:val="0"/>
        </w:numPr>
        <w:spacing w:before="0"/>
        <w:ind w:left="799"/>
        <w:rPr>
          <w:lang w:val="en-US"/>
        </w:rPr>
      </w:pPr>
    </w:p>
    <w:p w14:paraId="2D981A3F" w14:textId="7E0BE2B5" w:rsidR="00BE549F" w:rsidRPr="00F27612" w:rsidRDefault="00CC20ED" w:rsidP="00BE549F">
      <w:pPr>
        <w:pStyle w:val="01Section1"/>
        <w:spacing w:before="0"/>
        <w:rPr>
          <w:lang w:val="en-US"/>
        </w:rPr>
      </w:pPr>
      <w:r>
        <w:rPr>
          <w:lang w:val="en-US"/>
        </w:rPr>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CBCE7C6" w14:textId="6C17F1F1" w:rsidR="00BE549F" w:rsidRDefault="00981DD8" w:rsidP="00981DD8">
      <w:pPr>
        <w:pStyle w:val="0Maintext"/>
        <w:spacing w:after="120" w:afterAutospacing="0"/>
        <w:ind w:firstLine="450"/>
        <w:rPr>
          <w:lang w:val="en-US"/>
        </w:rPr>
      </w:pPr>
      <w:r>
        <w:rPr>
          <w:lang w:val="en-US"/>
        </w:rPr>
        <w:t>In this contribution, the following proposal</w:t>
      </w:r>
      <w:r w:rsidR="0025756D">
        <w:rPr>
          <w:lang w:val="en-US"/>
        </w:rPr>
        <w:t>s</w:t>
      </w:r>
      <w:r>
        <w:rPr>
          <w:lang w:val="en-US"/>
        </w:rPr>
        <w:t xml:space="preserve"> are given: </w:t>
      </w:r>
    </w:p>
    <w:p w14:paraId="6296FABC" w14:textId="77777777" w:rsidR="0063560E" w:rsidRDefault="0063560E" w:rsidP="0063560E">
      <w:pPr>
        <w:pStyle w:val="0Maintext"/>
        <w:spacing w:after="120" w:afterAutospacing="0"/>
        <w:ind w:firstLine="0"/>
        <w:rPr>
          <w:i/>
        </w:rPr>
      </w:pPr>
      <w:r w:rsidRPr="00D720D1">
        <w:rPr>
          <w:rFonts w:eastAsiaTheme="minorEastAsia" w:cs="Times New Roman"/>
          <w:b/>
          <w:i/>
          <w:color w:val="000000" w:themeColor="text1"/>
          <w:kern w:val="24"/>
        </w:rPr>
        <w:lastRenderedPageBreak/>
        <w:t>Proposal 1</w:t>
      </w:r>
      <w:r w:rsidRPr="0086369C">
        <w:rPr>
          <w:rFonts w:eastAsiaTheme="minorEastAsia" w:cs="Times New Roman"/>
          <w:i/>
          <w:color w:val="000000" w:themeColor="text1"/>
          <w:kern w:val="24"/>
        </w:rPr>
        <w:t>:</w:t>
      </w:r>
      <w:r>
        <w:rPr>
          <w:rFonts w:eastAsiaTheme="minorEastAsia" w:cs="Times New Roman"/>
          <w:color w:val="000000" w:themeColor="text1"/>
          <w:kern w:val="24"/>
        </w:rPr>
        <w:t xml:space="preserve"> </w:t>
      </w:r>
      <w:r w:rsidRPr="0086369C">
        <w:rPr>
          <w:rFonts w:eastAsiaTheme="minorEastAsia" w:cs="Times New Roman"/>
          <w:i/>
          <w:color w:val="000000" w:themeColor="text1"/>
          <w:kern w:val="24"/>
        </w:rPr>
        <w:t xml:space="preserve">On the support of CSI reporting for BWP size &lt; 24 PRBs, </w:t>
      </w:r>
      <w:r>
        <w:rPr>
          <w:rFonts w:eastAsiaTheme="minorEastAsia" w:cs="Times New Roman"/>
          <w:i/>
          <w:color w:val="000000" w:themeColor="text1"/>
          <w:kern w:val="24"/>
        </w:rPr>
        <w:t>extend the support of</w:t>
      </w:r>
      <w:r w:rsidRPr="0086369C">
        <w:rPr>
          <w:rFonts w:eastAsiaTheme="minorEastAsia" w:cs="Times New Roman"/>
          <w:i/>
          <w:color w:val="000000" w:themeColor="text1"/>
          <w:kern w:val="24"/>
        </w:rPr>
        <w:t xml:space="preserve"> wideband CSI reporting </w:t>
      </w:r>
      <w:r>
        <w:rPr>
          <w:rFonts w:eastAsiaTheme="minorEastAsia" w:cs="Times New Roman"/>
          <w:i/>
          <w:color w:val="000000" w:themeColor="text1"/>
          <w:kern w:val="24"/>
        </w:rPr>
        <w:t>to</w:t>
      </w:r>
      <w:r w:rsidRPr="0086369C">
        <w:rPr>
          <w:rFonts w:eastAsiaTheme="minorEastAsia" w:cs="Times New Roman"/>
          <w:i/>
          <w:color w:val="000000" w:themeColor="text1"/>
          <w:kern w:val="24"/>
        </w:rPr>
        <w:t xml:space="preserve"> Rel.16 Type II</w:t>
      </w:r>
      <w:r>
        <w:t xml:space="preserve"> </w:t>
      </w:r>
      <w:r w:rsidRPr="0086369C">
        <w:rPr>
          <w:i/>
        </w:rPr>
        <w:t>with</w:t>
      </w:r>
      <w:r>
        <w:rPr>
          <w:i/>
        </w:rPr>
        <w:t xml:space="preserve"> the following restrictions</w:t>
      </w:r>
      <w:r w:rsidRPr="0086369C">
        <w:rPr>
          <w:i/>
        </w:rPr>
        <w:t xml:space="preserve"> </w:t>
      </w:r>
    </w:p>
    <w:p w14:paraId="551DE852" w14:textId="77777777" w:rsidR="0063560E" w:rsidRDefault="0063560E" w:rsidP="00C05FEA">
      <w:pPr>
        <w:pStyle w:val="0Maintext"/>
        <w:numPr>
          <w:ilvl w:val="0"/>
          <w:numId w:val="43"/>
        </w:numPr>
        <w:spacing w:after="120" w:afterAutospacing="0"/>
      </w:pPr>
      <w:r w:rsidRPr="0086369C">
        <w:rPr>
          <w:i/>
        </w:rPr>
        <w:t>R=1</w:t>
      </w:r>
    </w:p>
    <w:p w14:paraId="77668374" w14:textId="77777777" w:rsidR="0063560E" w:rsidRDefault="0063560E" w:rsidP="00C05FEA">
      <w:pPr>
        <w:pStyle w:val="ListParagraph"/>
        <w:numPr>
          <w:ilvl w:val="0"/>
          <w:numId w:val="43"/>
        </w:numPr>
        <w:ind w:leftChars="0"/>
        <w:rPr>
          <w:i/>
          <w:sz w:val="20"/>
          <w:lang w:val="en-US"/>
        </w:rPr>
      </w:pPr>
      <w:r>
        <w:rPr>
          <w:i/>
          <w:sz w:val="20"/>
          <w:lang w:val="en-US"/>
        </w:rPr>
        <w:t>Discuss a</w:t>
      </w:r>
      <w:r w:rsidRPr="0086369C">
        <w:rPr>
          <w:i/>
          <w:sz w:val="20"/>
          <w:lang w:val="en-US"/>
        </w:rPr>
        <w:t xml:space="preserve">ny additional restriction </w:t>
      </w:r>
      <w:r>
        <w:rPr>
          <w:i/>
          <w:sz w:val="20"/>
          <w:lang w:val="en-US"/>
        </w:rPr>
        <w:t>(</w:t>
      </w:r>
      <w:r w:rsidRPr="0086369C">
        <w:rPr>
          <w:i/>
          <w:sz w:val="20"/>
          <w:lang w:val="en-US"/>
        </w:rPr>
        <w:t xml:space="preserve">such as </w:t>
      </w:r>
      <w:r>
        <w:rPr>
          <w:i/>
          <w:sz w:val="20"/>
          <w:lang w:val="en-US"/>
        </w:rPr>
        <w:t>rank, number of ports, L values etc.)</w:t>
      </w:r>
    </w:p>
    <w:p w14:paraId="32CDE809" w14:textId="77777777" w:rsidR="0063560E" w:rsidRPr="0086369C" w:rsidRDefault="0063560E" w:rsidP="00C05FEA">
      <w:pPr>
        <w:pStyle w:val="ListParagraph"/>
        <w:numPr>
          <w:ilvl w:val="1"/>
          <w:numId w:val="43"/>
        </w:numPr>
        <w:ind w:leftChars="0"/>
        <w:rPr>
          <w:i/>
          <w:sz w:val="20"/>
          <w:lang w:val="en-US"/>
        </w:rPr>
      </w:pPr>
      <w:r>
        <w:rPr>
          <w:i/>
          <w:sz w:val="20"/>
          <w:lang w:val="en-US"/>
        </w:rPr>
        <w:t>This discussion can be discussed together with the UE feature discussion.</w:t>
      </w:r>
    </w:p>
    <w:p w14:paraId="0096BA5C" w14:textId="2854E469" w:rsidR="0023467D" w:rsidRPr="00D939FF" w:rsidRDefault="0023467D" w:rsidP="0023467D">
      <w:pPr>
        <w:rPr>
          <w:i/>
          <w:sz w:val="20"/>
          <w:lang w:eastAsia="ko-KR"/>
        </w:rPr>
      </w:pPr>
      <w:r w:rsidRPr="00D939FF">
        <w:rPr>
          <w:b/>
          <w:i/>
          <w:sz w:val="20"/>
          <w:lang w:eastAsia="ko-KR"/>
        </w:rPr>
        <w:t>Proposal 2</w:t>
      </w:r>
      <w:r w:rsidRPr="00D939FF">
        <w:rPr>
          <w:i/>
          <w:sz w:val="20"/>
          <w:lang w:eastAsia="ko-KR"/>
        </w:rPr>
        <w:t>: Regarding UE capability</w:t>
      </w:r>
      <w:r w:rsidR="00F25F00">
        <w:rPr>
          <w:i/>
          <w:sz w:val="20"/>
          <w:lang w:eastAsia="ko-KR"/>
        </w:rPr>
        <w:t xml:space="preserve"> for Rel. 16 eTypeII and eTypeII port selection codebooks</w:t>
      </w:r>
      <w:r w:rsidRPr="00D939FF">
        <w:rPr>
          <w:i/>
          <w:sz w:val="20"/>
          <w:lang w:eastAsia="ko-KR"/>
        </w:rPr>
        <w:t>,</w:t>
      </w:r>
    </w:p>
    <w:p w14:paraId="3177FB45" w14:textId="77777777" w:rsidR="0023467D" w:rsidRPr="00D939FF" w:rsidRDefault="0023467D" w:rsidP="00C05FEA">
      <w:pPr>
        <w:pStyle w:val="ListParagraph"/>
        <w:numPr>
          <w:ilvl w:val="0"/>
          <w:numId w:val="38"/>
        </w:numPr>
        <w:spacing w:before="60" w:after="120" w:line="288" w:lineRule="auto"/>
        <w:ind w:leftChars="0"/>
        <w:jc w:val="both"/>
        <w:rPr>
          <w:i/>
          <w:sz w:val="20"/>
          <w:lang w:eastAsia="ko-KR"/>
        </w:rPr>
      </w:pPr>
      <w:r w:rsidRPr="00D939FF">
        <w:rPr>
          <w:i/>
          <w:sz w:val="20"/>
          <w:lang w:eastAsia="ko-KR"/>
        </w:rPr>
        <w:t>The following is mandatory, hence doesn’t require additional capacity signalling.</w:t>
      </w:r>
    </w:p>
    <w:p w14:paraId="62EF411C" w14:textId="77777777" w:rsidR="0023467D" w:rsidRPr="00D939FF" w:rsidRDefault="0023467D"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Rank restriction</w:t>
      </w:r>
    </w:p>
    <w:p w14:paraId="0FA1B99C" w14:textId="77777777" w:rsidR="0023467D" w:rsidRPr="00D939FF" w:rsidRDefault="0023467D"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UCI omission</w:t>
      </w:r>
    </w:p>
    <w:p w14:paraId="4A5A5D27" w14:textId="77777777" w:rsidR="0023467D" w:rsidRPr="00D939FF" w:rsidRDefault="0023467D" w:rsidP="00C05FEA">
      <w:pPr>
        <w:pStyle w:val="ListParagraph"/>
        <w:numPr>
          <w:ilvl w:val="0"/>
          <w:numId w:val="38"/>
        </w:numPr>
        <w:spacing w:before="60" w:after="120" w:line="288" w:lineRule="auto"/>
        <w:ind w:leftChars="0"/>
        <w:jc w:val="both"/>
        <w:rPr>
          <w:i/>
          <w:sz w:val="20"/>
          <w:lang w:eastAsia="ko-KR"/>
        </w:rPr>
      </w:pPr>
      <w:r w:rsidRPr="00D939FF">
        <w:rPr>
          <w:i/>
          <w:sz w:val="20"/>
          <w:lang w:eastAsia="ko-KR"/>
        </w:rPr>
        <w:t xml:space="preserve">The following (sub-)features requires additional capability signalling.  </w:t>
      </w:r>
    </w:p>
    <w:p w14:paraId="07B485F3" w14:textId="77777777" w:rsidR="0023467D" w:rsidRPr="00D939FF" w:rsidRDefault="0023467D"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 xml:space="preserve">R=2 and N3&lt;=2 </w:t>
      </w:r>
    </w:p>
    <w:p w14:paraId="33837A85" w14:textId="77777777" w:rsidR="0023467D" w:rsidRPr="00D939FF" w:rsidRDefault="0023467D"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L=6 for eTypeII codebook</w:t>
      </w:r>
    </w:p>
    <w:p w14:paraId="55FFFF7B" w14:textId="77777777" w:rsidR="0023467D" w:rsidRPr="00D939FF" w:rsidRDefault="0023467D"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Rank 3-4</w:t>
      </w:r>
    </w:p>
    <w:p w14:paraId="58F8F03E" w14:textId="77777777" w:rsidR="0023467D" w:rsidRPr="00D939FF" w:rsidRDefault="0023467D"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 xml:space="preserve">Amplitude restriction – reuse Rel.15 parameter </w:t>
      </w:r>
      <w:r w:rsidRPr="00D939FF">
        <w:rPr>
          <w:i/>
          <w:iCs/>
          <w:sz w:val="20"/>
        </w:rPr>
        <w:t>amplitudeSubsetRestriction</w:t>
      </w:r>
    </w:p>
    <w:p w14:paraId="61255D34" w14:textId="77777777" w:rsidR="0023467D" w:rsidRPr="00D939FF" w:rsidRDefault="0023467D" w:rsidP="00C05FEA">
      <w:pPr>
        <w:pStyle w:val="ListParagraph"/>
        <w:numPr>
          <w:ilvl w:val="0"/>
          <w:numId w:val="38"/>
        </w:numPr>
        <w:spacing w:before="60" w:after="120" w:line="288" w:lineRule="auto"/>
        <w:ind w:leftChars="0"/>
        <w:jc w:val="both"/>
        <w:rPr>
          <w:i/>
          <w:sz w:val="20"/>
          <w:lang w:eastAsia="ko-KR"/>
        </w:rPr>
      </w:pPr>
      <w:r w:rsidRPr="00D939FF">
        <w:rPr>
          <w:i/>
          <w:sz w:val="20"/>
          <w:lang w:eastAsia="ko-KR"/>
        </w:rPr>
        <w:t>The following and corresponding UE capability signalling is not supported.</w:t>
      </w:r>
    </w:p>
    <w:p w14:paraId="71757632" w14:textId="77777777" w:rsidR="0023467D" w:rsidRPr="00D939FF" w:rsidRDefault="0023467D"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UE capability signalling for concurrent codebooks</w:t>
      </w:r>
    </w:p>
    <w:p w14:paraId="424441FE" w14:textId="77777777" w:rsidR="0023467D" w:rsidRPr="00D939FF" w:rsidRDefault="0023467D" w:rsidP="00C05FEA">
      <w:pPr>
        <w:pStyle w:val="ListParagraph"/>
        <w:numPr>
          <w:ilvl w:val="1"/>
          <w:numId w:val="38"/>
        </w:numPr>
        <w:spacing w:before="60" w:after="120" w:line="288" w:lineRule="auto"/>
        <w:ind w:leftChars="0"/>
        <w:jc w:val="both"/>
        <w:rPr>
          <w:i/>
          <w:sz w:val="20"/>
          <w:lang w:eastAsia="ko-KR"/>
        </w:rPr>
      </w:pPr>
      <w:r w:rsidRPr="00D939FF">
        <w:rPr>
          <w:i/>
          <w:sz w:val="20"/>
          <w:lang w:eastAsia="ko-KR"/>
        </w:rPr>
        <w:t xml:space="preserve">Maximum number of configured aperiodic CSI Report Settings. </w:t>
      </w:r>
    </w:p>
    <w:p w14:paraId="021B0B8E" w14:textId="77777777" w:rsidR="0063560E" w:rsidRDefault="0063560E" w:rsidP="0063560E">
      <w:pPr>
        <w:pStyle w:val="0Maintext"/>
        <w:spacing w:after="60" w:afterAutospacing="0"/>
        <w:ind w:firstLine="0"/>
        <w:rPr>
          <w:rFonts w:eastAsiaTheme="minorEastAsia" w:cs="Times New Roman"/>
          <w:i/>
          <w:color w:val="000000" w:themeColor="text1"/>
          <w:kern w:val="24"/>
        </w:rPr>
      </w:pPr>
    </w:p>
    <w:p w14:paraId="3C140045" w14:textId="77777777" w:rsidR="00B246F4" w:rsidRPr="00082D37" w:rsidRDefault="00B246F4" w:rsidP="00A47EE1">
      <w:pPr>
        <w:pStyle w:val="0Maintext"/>
        <w:spacing w:after="120" w:afterAutospacing="0"/>
        <w:ind w:firstLine="450"/>
        <w:rPr>
          <w:lang w:val="en-US"/>
        </w:rPr>
      </w:pPr>
    </w:p>
    <w:p w14:paraId="7EF669F0" w14:textId="24D8C190" w:rsidR="000F762B" w:rsidRPr="00082D37" w:rsidRDefault="000F762B" w:rsidP="00FB6F1A">
      <w:pPr>
        <w:pStyle w:val="Heading1"/>
        <w:spacing w:before="0"/>
        <w:jc w:val="both"/>
        <w:rPr>
          <w:lang w:val="en-US"/>
        </w:rPr>
      </w:pPr>
      <w:r w:rsidRPr="00082D37">
        <w:rPr>
          <w:lang w:val="en-US"/>
        </w:rPr>
        <w:t>References</w:t>
      </w:r>
    </w:p>
    <w:p w14:paraId="1CBBDA45" w14:textId="3F22550E" w:rsidR="00E87EFE" w:rsidRDefault="001D56C6" w:rsidP="0076688D">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E87EFE">
        <w:rPr>
          <w:sz w:val="20"/>
          <w:lang w:val="en-US" w:eastAsia="ko-KR"/>
        </w:rPr>
        <w:t xml:space="preserve"> RAN1</w:t>
      </w:r>
      <w:r w:rsidR="001479B0">
        <w:rPr>
          <w:sz w:val="20"/>
          <w:lang w:val="en-US" w:eastAsia="ko-KR"/>
        </w:rPr>
        <w:t>#100-e</w:t>
      </w:r>
      <w:r w:rsidR="00E87EFE">
        <w:rPr>
          <w:sz w:val="20"/>
          <w:lang w:val="en-US" w:eastAsia="ko-KR"/>
        </w:rPr>
        <w:t xml:space="preserve">, </w:t>
      </w:r>
      <w:bookmarkEnd w:id="3"/>
      <w:bookmarkEnd w:id="4"/>
      <w:r w:rsidR="001479B0">
        <w:rPr>
          <w:sz w:val="20"/>
          <w:lang w:val="en-US" w:eastAsia="ko-KR"/>
        </w:rPr>
        <w:t>Chairman’s notes</w:t>
      </w:r>
    </w:p>
    <w:p w14:paraId="45FD8039" w14:textId="45BB6774" w:rsidR="0031340E" w:rsidRDefault="00CD35EB" w:rsidP="001479B0">
      <w:pPr>
        <w:pStyle w:val="2222"/>
        <w:numPr>
          <w:ilvl w:val="0"/>
          <w:numId w:val="5"/>
        </w:numPr>
        <w:spacing w:after="120" w:line="288" w:lineRule="auto"/>
        <w:ind w:firstLineChars="0"/>
        <w:rPr>
          <w:sz w:val="20"/>
          <w:lang w:val="en-US" w:eastAsia="ko-KR"/>
        </w:rPr>
      </w:pPr>
      <w:bookmarkStart w:id="5" w:name="_Ref32401315"/>
      <w:r>
        <w:rPr>
          <w:sz w:val="20"/>
          <w:lang w:val="en-US" w:eastAsia="ko-KR"/>
        </w:rPr>
        <w:t>R1-2002127</w:t>
      </w:r>
      <w:r w:rsidR="0031340E">
        <w:rPr>
          <w:sz w:val="20"/>
          <w:lang w:val="en-US" w:eastAsia="ko-KR"/>
        </w:rPr>
        <w:t>, “</w:t>
      </w:r>
      <w:r w:rsidR="001479B0" w:rsidRPr="001479B0">
        <w:rPr>
          <w:sz w:val="20"/>
          <w:lang w:val="en-US" w:eastAsia="ko-KR"/>
        </w:rPr>
        <w:t>Summary of offline email discussion on [100e-NR-eMIMO-MUCSI-01] follow up</w:t>
      </w:r>
      <w:r w:rsidR="0031340E">
        <w:rPr>
          <w:sz w:val="20"/>
          <w:lang w:val="en-US" w:eastAsia="ko-KR"/>
        </w:rPr>
        <w:t xml:space="preserve">”, </w:t>
      </w:r>
      <w:bookmarkEnd w:id="5"/>
      <w:r w:rsidR="001479B0" w:rsidRPr="001479B0">
        <w:rPr>
          <w:sz w:val="20"/>
          <w:lang w:val="en-US" w:eastAsia="ko-KR"/>
        </w:rPr>
        <w:t>Moderator (Samsung)</w:t>
      </w:r>
    </w:p>
    <w:sectPr w:rsidR="0031340E" w:rsidSect="00667E9F">
      <w:headerReference w:type="default" r:id="rId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127E9" w14:textId="77777777" w:rsidR="00DB5DD0" w:rsidRDefault="00DB5DD0">
      <w:r>
        <w:separator/>
      </w:r>
    </w:p>
  </w:endnote>
  <w:endnote w:type="continuationSeparator" w:id="0">
    <w:p w14:paraId="453BB510" w14:textId="77777777" w:rsidR="00DB5DD0" w:rsidRDefault="00DB5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Gulim">
    <w:altName w:val="Malgun Gothic Semilight"/>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197E2" w14:textId="77777777" w:rsidR="00DB5DD0" w:rsidRDefault="00DB5DD0">
      <w:r>
        <w:separator/>
      </w:r>
    </w:p>
  </w:footnote>
  <w:footnote w:type="continuationSeparator" w:id="0">
    <w:p w14:paraId="07C21E79" w14:textId="77777777" w:rsidR="00DB5DD0" w:rsidRDefault="00DB5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4831B2" w:rsidRDefault="004831B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E30CD6"/>
    <w:multiLevelType w:val="hybridMultilevel"/>
    <w:tmpl w:val="50621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675CFC"/>
    <w:multiLevelType w:val="hybridMultilevel"/>
    <w:tmpl w:val="4F8E6092"/>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DAFA621E"/>
    <w:lvl w:ilvl="0">
      <w:start w:val="1"/>
      <w:numFmt w:val="decimal"/>
      <w:pStyle w:val="Heading1"/>
      <w:lvlText w:val="%1"/>
      <w:lvlJc w:val="left"/>
      <w:pPr>
        <w:ind w:left="193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527232"/>
    <w:multiLevelType w:val="hybridMultilevel"/>
    <w:tmpl w:val="4684A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7E000A"/>
    <w:multiLevelType w:val="hybridMultilevel"/>
    <w:tmpl w:val="4D80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533179"/>
    <w:multiLevelType w:val="hybridMultilevel"/>
    <w:tmpl w:val="7C0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977ABC"/>
    <w:multiLevelType w:val="hybridMultilevel"/>
    <w:tmpl w:val="B8D8A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F222DC"/>
    <w:multiLevelType w:val="hybridMultilevel"/>
    <w:tmpl w:val="8014EA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7"/>
  </w:num>
  <w:num w:numId="4">
    <w:abstractNumId w:val="35"/>
  </w:num>
  <w:num w:numId="5">
    <w:abstractNumId w:val="3"/>
  </w:num>
  <w:num w:numId="6">
    <w:abstractNumId w:val="2"/>
  </w:num>
  <w:num w:numId="7">
    <w:abstractNumId w:val="28"/>
  </w:num>
  <w:num w:numId="8">
    <w:abstractNumId w:val="3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num>
  <w:num w:numId="11">
    <w:abstractNumId w:val="13"/>
  </w:num>
  <w:num w:numId="12">
    <w:abstractNumId w:val="19"/>
  </w:num>
  <w:num w:numId="13">
    <w:abstractNumId w:val="15"/>
  </w:num>
  <w:num w:numId="14">
    <w:abstractNumId w:val="16"/>
  </w:num>
  <w:num w:numId="15">
    <w:abstractNumId w:val="1"/>
  </w:num>
  <w:num w:numId="16">
    <w:abstractNumId w:val="36"/>
  </w:num>
  <w:num w:numId="17">
    <w:abstractNumId w:val="10"/>
  </w:num>
  <w:num w:numId="18">
    <w:abstractNumId w:val="0"/>
  </w:num>
  <w:num w:numId="19">
    <w:abstractNumId w:val="26"/>
  </w:num>
  <w:num w:numId="20">
    <w:abstractNumId w:val="22"/>
  </w:num>
  <w:num w:numId="21">
    <w:abstractNumId w:val="41"/>
  </w:num>
  <w:num w:numId="22">
    <w:abstractNumId w:val="23"/>
  </w:num>
  <w:num w:numId="23">
    <w:abstractNumId w:val="37"/>
  </w:num>
  <w:num w:numId="24">
    <w:abstractNumId w:val="17"/>
  </w:num>
  <w:num w:numId="25">
    <w:abstractNumId w:val="14"/>
  </w:num>
  <w:num w:numId="26">
    <w:abstractNumId w:val="9"/>
  </w:num>
  <w:num w:numId="27">
    <w:abstractNumId w:val="24"/>
  </w:num>
  <w:num w:numId="28">
    <w:abstractNumId w:val="39"/>
  </w:num>
  <w:num w:numId="29">
    <w:abstractNumId w:val="33"/>
  </w:num>
  <w:num w:numId="30">
    <w:abstractNumId w:val="5"/>
  </w:num>
  <w:num w:numId="31">
    <w:abstractNumId w:val="42"/>
  </w:num>
  <w:num w:numId="32">
    <w:abstractNumId w:val="12"/>
  </w:num>
  <w:num w:numId="33">
    <w:abstractNumId w:val="34"/>
  </w:num>
  <w:num w:numId="34">
    <w:abstractNumId w:val="8"/>
  </w:num>
  <w:num w:numId="35">
    <w:abstractNumId w:val="31"/>
  </w:num>
  <w:num w:numId="36">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1"/>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20"/>
  </w:num>
  <w:num w:numId="42">
    <w:abstractNumId w:val="29"/>
  </w:num>
  <w:num w:numId="43">
    <w:abstractNumId w:val="4"/>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DC9"/>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400"/>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D53"/>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496B"/>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2E8C"/>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B1D"/>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0EEB"/>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AAE"/>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668"/>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9B0"/>
    <w:rsid w:val="00147BF0"/>
    <w:rsid w:val="001503B7"/>
    <w:rsid w:val="00150806"/>
    <w:rsid w:val="001512E6"/>
    <w:rsid w:val="001517B8"/>
    <w:rsid w:val="00151AAB"/>
    <w:rsid w:val="00151C51"/>
    <w:rsid w:val="00151EFF"/>
    <w:rsid w:val="001525EB"/>
    <w:rsid w:val="00152CDA"/>
    <w:rsid w:val="001535CB"/>
    <w:rsid w:val="0015444C"/>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472"/>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6"/>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5CA"/>
    <w:rsid w:val="00196912"/>
    <w:rsid w:val="00196998"/>
    <w:rsid w:val="001971E7"/>
    <w:rsid w:val="00197671"/>
    <w:rsid w:val="00197933"/>
    <w:rsid w:val="00197BA4"/>
    <w:rsid w:val="00197DFB"/>
    <w:rsid w:val="001A0748"/>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A21"/>
    <w:rsid w:val="001D5C12"/>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1EB4"/>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2F7"/>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9C2"/>
    <w:rsid w:val="002279EE"/>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7D"/>
    <w:rsid w:val="0023468C"/>
    <w:rsid w:val="0023491C"/>
    <w:rsid w:val="002351BF"/>
    <w:rsid w:val="002354CF"/>
    <w:rsid w:val="00235759"/>
    <w:rsid w:val="0023581D"/>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56D"/>
    <w:rsid w:val="002576FF"/>
    <w:rsid w:val="00257719"/>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4D06"/>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3A7"/>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B7A67"/>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40E"/>
    <w:rsid w:val="00313945"/>
    <w:rsid w:val="0031398A"/>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3F6"/>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4CDA"/>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8B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1EEF"/>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0B5"/>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63"/>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4EB3"/>
    <w:rsid w:val="004158FF"/>
    <w:rsid w:val="004159A7"/>
    <w:rsid w:val="004159CB"/>
    <w:rsid w:val="00415E0E"/>
    <w:rsid w:val="00415E27"/>
    <w:rsid w:val="00415FCE"/>
    <w:rsid w:val="004169A3"/>
    <w:rsid w:val="00416DA2"/>
    <w:rsid w:val="00416F04"/>
    <w:rsid w:val="0041700C"/>
    <w:rsid w:val="00417513"/>
    <w:rsid w:val="00417DC5"/>
    <w:rsid w:val="00417E7C"/>
    <w:rsid w:val="0042030B"/>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71"/>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9D6"/>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1B2"/>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545"/>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7DA"/>
    <w:rsid w:val="005138F0"/>
    <w:rsid w:val="005141EA"/>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4D9"/>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5B"/>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73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3C"/>
    <w:rsid w:val="00584343"/>
    <w:rsid w:val="0058443F"/>
    <w:rsid w:val="0058459F"/>
    <w:rsid w:val="0058463D"/>
    <w:rsid w:val="0058493F"/>
    <w:rsid w:val="005849C2"/>
    <w:rsid w:val="00584B0C"/>
    <w:rsid w:val="00585690"/>
    <w:rsid w:val="00585900"/>
    <w:rsid w:val="00585D0E"/>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5CD"/>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CC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4C3"/>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6F4D"/>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E0F"/>
    <w:rsid w:val="00603E6A"/>
    <w:rsid w:val="00603EF6"/>
    <w:rsid w:val="006045A4"/>
    <w:rsid w:val="00604BA4"/>
    <w:rsid w:val="00604C11"/>
    <w:rsid w:val="00604DF3"/>
    <w:rsid w:val="006052A7"/>
    <w:rsid w:val="006052A9"/>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60E"/>
    <w:rsid w:val="00635FD4"/>
    <w:rsid w:val="0063687E"/>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2440"/>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5CE7"/>
    <w:rsid w:val="006A60DA"/>
    <w:rsid w:val="006A6119"/>
    <w:rsid w:val="006A65A0"/>
    <w:rsid w:val="006A6660"/>
    <w:rsid w:val="006A6A20"/>
    <w:rsid w:val="006A6FAD"/>
    <w:rsid w:val="006A7131"/>
    <w:rsid w:val="006A727C"/>
    <w:rsid w:val="006A76EA"/>
    <w:rsid w:val="006B07D4"/>
    <w:rsid w:val="006B0849"/>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09"/>
    <w:rsid w:val="006C5988"/>
    <w:rsid w:val="006C5FBB"/>
    <w:rsid w:val="006C62D0"/>
    <w:rsid w:val="006C67BD"/>
    <w:rsid w:val="006C681A"/>
    <w:rsid w:val="006C6888"/>
    <w:rsid w:val="006C7391"/>
    <w:rsid w:val="006C7678"/>
    <w:rsid w:val="006C7CBE"/>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EF4"/>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D8C"/>
    <w:rsid w:val="006E6752"/>
    <w:rsid w:val="006E6A76"/>
    <w:rsid w:val="006E6B50"/>
    <w:rsid w:val="006E6B61"/>
    <w:rsid w:val="006E6FCA"/>
    <w:rsid w:val="006E7137"/>
    <w:rsid w:val="006E75D7"/>
    <w:rsid w:val="006E760D"/>
    <w:rsid w:val="006E76DB"/>
    <w:rsid w:val="006E7C6E"/>
    <w:rsid w:val="006F0777"/>
    <w:rsid w:val="006F0969"/>
    <w:rsid w:val="006F0CB4"/>
    <w:rsid w:val="006F13C5"/>
    <w:rsid w:val="006F15BA"/>
    <w:rsid w:val="006F1953"/>
    <w:rsid w:val="006F199F"/>
    <w:rsid w:val="006F1CA5"/>
    <w:rsid w:val="006F204A"/>
    <w:rsid w:val="006F2387"/>
    <w:rsid w:val="006F27CA"/>
    <w:rsid w:val="006F2B65"/>
    <w:rsid w:val="006F2C9D"/>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0BB6"/>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03"/>
    <w:rsid w:val="0072622E"/>
    <w:rsid w:val="00726893"/>
    <w:rsid w:val="00726C2E"/>
    <w:rsid w:val="00727282"/>
    <w:rsid w:val="007275B1"/>
    <w:rsid w:val="007276B9"/>
    <w:rsid w:val="00727707"/>
    <w:rsid w:val="00727A34"/>
    <w:rsid w:val="00730880"/>
    <w:rsid w:val="00730ECC"/>
    <w:rsid w:val="00731277"/>
    <w:rsid w:val="00731645"/>
    <w:rsid w:val="00731977"/>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9F0"/>
    <w:rsid w:val="007533CE"/>
    <w:rsid w:val="0075357D"/>
    <w:rsid w:val="007536E4"/>
    <w:rsid w:val="007539DF"/>
    <w:rsid w:val="00753A41"/>
    <w:rsid w:val="007540C3"/>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1E44"/>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65F9"/>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B8"/>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597"/>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6D3"/>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3A3"/>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69C"/>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672"/>
    <w:rsid w:val="00876739"/>
    <w:rsid w:val="00877054"/>
    <w:rsid w:val="00877288"/>
    <w:rsid w:val="0087744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2F03"/>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293"/>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2C"/>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EC9"/>
    <w:rsid w:val="0092608D"/>
    <w:rsid w:val="0092678B"/>
    <w:rsid w:val="00926844"/>
    <w:rsid w:val="00926CA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CA5"/>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06"/>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5F17"/>
    <w:rsid w:val="00966452"/>
    <w:rsid w:val="00966712"/>
    <w:rsid w:val="00966A6B"/>
    <w:rsid w:val="00967D6D"/>
    <w:rsid w:val="00970518"/>
    <w:rsid w:val="00970595"/>
    <w:rsid w:val="0097072D"/>
    <w:rsid w:val="009716DD"/>
    <w:rsid w:val="0097174C"/>
    <w:rsid w:val="009717C6"/>
    <w:rsid w:val="009719F9"/>
    <w:rsid w:val="00971BFD"/>
    <w:rsid w:val="00971C38"/>
    <w:rsid w:val="00971D60"/>
    <w:rsid w:val="0097230F"/>
    <w:rsid w:val="00972634"/>
    <w:rsid w:val="009727C5"/>
    <w:rsid w:val="00972D70"/>
    <w:rsid w:val="00972DE2"/>
    <w:rsid w:val="00973317"/>
    <w:rsid w:val="00973388"/>
    <w:rsid w:val="00973FE6"/>
    <w:rsid w:val="009742CE"/>
    <w:rsid w:val="0097459E"/>
    <w:rsid w:val="00974700"/>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2A4"/>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220"/>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24C"/>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8EC"/>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2D1F"/>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3E0"/>
    <w:rsid w:val="009F64CD"/>
    <w:rsid w:val="009F64D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973"/>
    <w:rsid w:val="00A06C81"/>
    <w:rsid w:val="00A0774C"/>
    <w:rsid w:val="00A07B56"/>
    <w:rsid w:val="00A1007C"/>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5FC0"/>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0FDD"/>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67C66"/>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4BA"/>
    <w:rsid w:val="00A7556C"/>
    <w:rsid w:val="00A75758"/>
    <w:rsid w:val="00A7595D"/>
    <w:rsid w:val="00A7598C"/>
    <w:rsid w:val="00A759AF"/>
    <w:rsid w:val="00A759C6"/>
    <w:rsid w:val="00A76D57"/>
    <w:rsid w:val="00A77092"/>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476"/>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461"/>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159"/>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ACC"/>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40A"/>
    <w:rsid w:val="00B5077D"/>
    <w:rsid w:val="00B50ACA"/>
    <w:rsid w:val="00B50E15"/>
    <w:rsid w:val="00B5174E"/>
    <w:rsid w:val="00B51895"/>
    <w:rsid w:val="00B51924"/>
    <w:rsid w:val="00B534DB"/>
    <w:rsid w:val="00B53B8E"/>
    <w:rsid w:val="00B54334"/>
    <w:rsid w:val="00B54B17"/>
    <w:rsid w:val="00B54F7F"/>
    <w:rsid w:val="00B5526D"/>
    <w:rsid w:val="00B558A7"/>
    <w:rsid w:val="00B565E6"/>
    <w:rsid w:val="00B56873"/>
    <w:rsid w:val="00B569D9"/>
    <w:rsid w:val="00B56C06"/>
    <w:rsid w:val="00B56DEC"/>
    <w:rsid w:val="00B57658"/>
    <w:rsid w:val="00B579BD"/>
    <w:rsid w:val="00B57A62"/>
    <w:rsid w:val="00B57CFD"/>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C8F"/>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20"/>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8A1"/>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CEB"/>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5FEA"/>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84D"/>
    <w:rsid w:val="00C16D7B"/>
    <w:rsid w:val="00C17057"/>
    <w:rsid w:val="00C17342"/>
    <w:rsid w:val="00C17876"/>
    <w:rsid w:val="00C17A00"/>
    <w:rsid w:val="00C2042E"/>
    <w:rsid w:val="00C204CD"/>
    <w:rsid w:val="00C2076D"/>
    <w:rsid w:val="00C2088A"/>
    <w:rsid w:val="00C20B45"/>
    <w:rsid w:val="00C20C78"/>
    <w:rsid w:val="00C215D0"/>
    <w:rsid w:val="00C21DCD"/>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5B"/>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173"/>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CE0"/>
    <w:rsid w:val="00C92E06"/>
    <w:rsid w:val="00C93759"/>
    <w:rsid w:val="00C93BF1"/>
    <w:rsid w:val="00C9424E"/>
    <w:rsid w:val="00C943D1"/>
    <w:rsid w:val="00C943D5"/>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4FE"/>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35EB"/>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541"/>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4B0"/>
    <w:rsid w:val="00D017CD"/>
    <w:rsid w:val="00D01BE0"/>
    <w:rsid w:val="00D02598"/>
    <w:rsid w:val="00D02A44"/>
    <w:rsid w:val="00D02C34"/>
    <w:rsid w:val="00D02C5F"/>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92"/>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AAB"/>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6A2"/>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0D1"/>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2EF7"/>
    <w:rsid w:val="00D93343"/>
    <w:rsid w:val="00D934C8"/>
    <w:rsid w:val="00D937A4"/>
    <w:rsid w:val="00D9382E"/>
    <w:rsid w:val="00D939FF"/>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273"/>
    <w:rsid w:val="00DB2E43"/>
    <w:rsid w:val="00DB2F20"/>
    <w:rsid w:val="00DB31EE"/>
    <w:rsid w:val="00DB3288"/>
    <w:rsid w:val="00DB3B85"/>
    <w:rsid w:val="00DB3F69"/>
    <w:rsid w:val="00DB4661"/>
    <w:rsid w:val="00DB5384"/>
    <w:rsid w:val="00DB5580"/>
    <w:rsid w:val="00DB5DD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073"/>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5D3"/>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359"/>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66F"/>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3A9"/>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5A0"/>
    <w:rsid w:val="00EE2A83"/>
    <w:rsid w:val="00EE2AE6"/>
    <w:rsid w:val="00EE3661"/>
    <w:rsid w:val="00EE38C0"/>
    <w:rsid w:val="00EE3A91"/>
    <w:rsid w:val="00EE3CFE"/>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2C6C"/>
    <w:rsid w:val="00F22EC0"/>
    <w:rsid w:val="00F23619"/>
    <w:rsid w:val="00F2372B"/>
    <w:rsid w:val="00F23D08"/>
    <w:rsid w:val="00F245AD"/>
    <w:rsid w:val="00F24910"/>
    <w:rsid w:val="00F24981"/>
    <w:rsid w:val="00F24E54"/>
    <w:rsid w:val="00F24EFB"/>
    <w:rsid w:val="00F24F55"/>
    <w:rsid w:val="00F256C8"/>
    <w:rsid w:val="00F25F00"/>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4D53"/>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77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5891"/>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029"/>
    <w:rsid w:val="00FE53D4"/>
    <w:rsid w:val="00FE5A68"/>
    <w:rsid w:val="00FE5C15"/>
    <w:rsid w:val="00FE6656"/>
    <w:rsid w:val="00FE66AD"/>
    <w:rsid w:val="00FE69C1"/>
    <w:rsid w:val="00FE715A"/>
    <w:rsid w:val="00FE7EC5"/>
    <w:rsid w:val="00FF0D0C"/>
    <w:rsid w:val="00FF1225"/>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spacing w:after="0"/>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pPr>
      <w:spacing w:after="0"/>
    </w:pPr>
    <w:rPr>
      <w:rFonts w:eastAsia="SimSun"/>
      <w:sz w:val="20"/>
    </w:rPr>
  </w:style>
  <w:style w:type="paragraph" w:customStyle="1" w:styleId="NW">
    <w:name w:val="NW"/>
    <w:basedOn w:val="NO"/>
    <w:rsid w:val="00D21492"/>
    <w:pPr>
      <w:spacing w:after="0"/>
    </w:pPr>
  </w:style>
  <w:style w:type="paragraph" w:customStyle="1" w:styleId="EW">
    <w:name w:val="EW"/>
    <w:basedOn w:val="EX"/>
    <w:rsid w:val="00D21492"/>
    <w:pPr>
      <w:spacing w:after="0"/>
    </w:pPr>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spacing w:after="0"/>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spacing w:after="0"/>
      <w:ind w:left="720" w:hanging="360"/>
      <w:jc w:val="both"/>
    </w:pPr>
    <w:rPr>
      <w:rFonts w:eastAsia="SimSun"/>
      <w:sz w:val="18"/>
      <w:lang w:val="en-US"/>
    </w:rPr>
  </w:style>
  <w:style w:type="paragraph" w:customStyle="1" w:styleId="NumberedList">
    <w:name w:val="Numbered List"/>
    <w:basedOn w:val="Normal"/>
    <w:rsid w:val="00D21492"/>
    <w:pPr>
      <w:numPr>
        <w:numId w:val="12"/>
      </w:numPr>
      <w:spacing w:after="0"/>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after="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spacing w:after="0"/>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spacing w:after="0"/>
      <w:jc w:val="both"/>
    </w:pPr>
    <w:rPr>
      <w:rFonts w:eastAsia="MS Mincho"/>
      <w:sz w:val="20"/>
    </w:rPr>
  </w:style>
  <w:style w:type="paragraph" w:customStyle="1" w:styleId="PaperTableCell">
    <w:name w:val="PaperTableCell"/>
    <w:basedOn w:val="Normal"/>
    <w:rsid w:val="00D21492"/>
    <w:pPr>
      <w:spacing w:after="0"/>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spacing w:after="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spacing w:after="0"/>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spacing w:after="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spacing w:after="0"/>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spacing w:after="0"/>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spacing w:after="0"/>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after="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spacing w:after="0"/>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spacing w:after="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spacing w:after="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spacing w:after="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after="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after="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spacing w:after="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spacing w:after="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spacing w:after="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spacing w:after="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spacing w:after="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spacing w:after="0"/>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after="0"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spacing w:after="0"/>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spacing w:after="0"/>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spacing w:after="0"/>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spacing w:after="0"/>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spacing w:after="0"/>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spacing w:after="0"/>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spacing w:after="0"/>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spacing w:after="0"/>
    </w:pPr>
    <w:rPr>
      <w:rFonts w:ascii="Times" w:eastAsia="MS PGothic" w:hAnsi="Times" w:cs="Times"/>
      <w:sz w:val="20"/>
      <w:lang w:val="en-US" w:eastAsia="ja-JP"/>
    </w:rPr>
  </w:style>
  <w:style w:type="paragraph" w:customStyle="1" w:styleId="72">
    <w:name w:val="标题 72"/>
    <w:basedOn w:val="Normal"/>
    <w:rsid w:val="00D21492"/>
    <w:pPr>
      <w:tabs>
        <w:tab w:val="num" w:pos="1296"/>
      </w:tabs>
      <w:spacing w:after="0"/>
    </w:pPr>
    <w:rPr>
      <w:rFonts w:ascii="Times" w:eastAsia="MS PGothic" w:hAnsi="Times" w:cs="Times"/>
      <w:sz w:val="20"/>
      <w:lang w:val="en-US" w:eastAsia="ja-JP"/>
    </w:rPr>
  </w:style>
  <w:style w:type="paragraph" w:customStyle="1" w:styleId="ListParagraph7">
    <w:name w:val="List Paragraph7"/>
    <w:basedOn w:val="Normal"/>
    <w:qFormat/>
    <w:rsid w:val="00D21492"/>
    <w:pPr>
      <w:spacing w:after="0"/>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spacing w:after="0"/>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spacing w:after="0"/>
    </w:pPr>
    <w:rPr>
      <w:rFonts w:ascii="Times" w:eastAsia="MS PGothic" w:hAnsi="Times" w:cs="Times"/>
      <w:sz w:val="20"/>
      <w:lang w:val="en-US" w:eastAsia="ja-JP"/>
    </w:rPr>
  </w:style>
  <w:style w:type="paragraph" w:customStyle="1" w:styleId="ListParagraph8">
    <w:name w:val="List Paragraph8"/>
    <w:basedOn w:val="Normal"/>
    <w:qFormat/>
    <w:rsid w:val="00D21492"/>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spacing w:after="0"/>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after="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after="0"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spacing w:after="0"/>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spacing w:after="0"/>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390437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592F7-9509-4458-8DE9-8745C6627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6244</TotalTime>
  <Pages>4</Pages>
  <Words>1576</Words>
  <Characters>8988</Characters>
  <Application>Microsoft Office Word</Application>
  <DocSecurity>0</DocSecurity>
  <Lines>74</Lines>
  <Paragraphs>21</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Rahman/Communication Standards /SRA/Staff Engineer/Samsung Electronics (STA)</cp:lastModifiedBy>
  <cp:revision>197</cp:revision>
  <cp:lastPrinted>2017-03-24T05:34:00Z</cp:lastPrinted>
  <dcterms:created xsi:type="dcterms:W3CDTF">2019-11-18T09:28:00Z</dcterms:created>
  <dcterms:modified xsi:type="dcterms:W3CDTF">2020-04-10T18:24:00Z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